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/>
      </w:r>
    </w:p>
    <w:p>
      <w:pPr>
        <w:pStyle w:val="Normal"/>
        <w:keepNext w:val="true"/>
        <w:keepLines/>
        <w:jc w:val="right"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spacing w:before="0" w:after="0"/>
        <w:contextualSpacing/>
        <w:jc w:val="center"/>
        <w:rPr/>
      </w:pPr>
      <w:r>
        <w:rPr>
          <w:rFonts w:eastAsia="Calibri"/>
          <w:b/>
        </w:rPr>
        <w:t>ТЕХНИЧЕСКИЕ ТРЕБОВАНИЯ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0"/>
        <w:contextualSpacing/>
        <w:jc w:val="center"/>
        <w:rPr/>
      </w:pPr>
      <w:r>
        <w:rPr>
          <w:rFonts w:eastAsia="Calibri"/>
          <w:b/>
          <w:i/>
        </w:rPr>
        <w:t xml:space="preserve">ОКПД2 26.30.11.110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0"/>
        <w:contextualSpacing/>
        <w:jc w:val="center"/>
        <w:rPr/>
      </w:pPr>
      <w:r>
        <w:rPr>
          <w:rFonts w:eastAsia="Calibri"/>
          <w:b/>
          <w:i/>
        </w:rPr>
        <w:t xml:space="preserve">Поставка материально-технических ресурсов на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0"/>
        <w:contextualSpacing/>
        <w:jc w:val="center"/>
        <w:rPr/>
      </w:pPr>
      <w:r>
        <w:rPr>
          <w:rFonts w:eastAsia="Calibri"/>
          <w:b/>
          <w:i/>
        </w:rPr>
        <w:t>содержание и эксплуатацию оборудования связи</w:t>
      </w:r>
    </w:p>
    <w:p>
      <w:pPr>
        <w:pStyle w:val="Normal"/>
        <w:keepNext w:val="true"/>
        <w:keepLines/>
        <w:spacing w:before="0" w:after="0"/>
        <w:contextualSpacing/>
        <w:jc w:val="center"/>
        <w:rPr/>
      </w:pPr>
      <w:r>
        <w:rPr>
          <w:rFonts w:eastAsia="Calibri"/>
          <w:b/>
        </w:rPr>
        <w:t>Лот № 6</w:t>
      </w:r>
      <w:r>
        <w:rPr>
          <w:rStyle w:val="Style8"/>
          <w:rFonts w:eastAsia="Calibri"/>
          <w:shd w:fill="auto" w:val="clear"/>
        </w:rPr>
        <w:t>-ЭКСПДИТ-2026-КамГЭС</w:t>
      </w:r>
    </w:p>
    <w:p>
      <w:pPr>
        <w:pStyle w:val="Normal"/>
        <w:keepNext w:val="true"/>
        <w:keepLines/>
        <w:spacing w:before="0" w:after="0"/>
        <w:contextualSpacing/>
        <w:jc w:val="center"/>
        <w:rPr>
          <w:rFonts w:eastAsia="Calibri"/>
          <w:b/>
          <w:i/>
          <w:i/>
        </w:rPr>
      </w:pPr>
      <w:r>
        <w:rPr>
          <w:rFonts w:eastAsia="Calibri"/>
          <w:b/>
          <w:i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/>
      </w:pPr>
      <w:r>
        <w:rPr/>
        <w:t>2026г.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/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rStyle w:val="Style14"/>
            </w:rPr>
            <w:instrText xml:space="preserve"> TOC \o "1-4" \h</w:instrText>
          </w:r>
          <w:r>
            <w:rPr>
              <w:rStyle w:val="Style14"/>
            </w:rPr>
            <w:fldChar w:fldCharType="separate"/>
          </w:r>
          <w:hyperlink w:anchor="__RefHeading___Toc76041_4020964711">
            <w:r>
              <w:rPr>
                <w:rStyle w:val="Style14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6043_4020964711">
            <w:r>
              <w:rPr>
                <w:rStyle w:val="Style14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6045_4020964711">
            <w:r>
              <w:rPr>
                <w:rStyle w:val="Style14"/>
              </w:rPr>
              <w:t>1.2. Наименование закупаемой продукции «Поставка запасных частей, комплектующих на содержание и эксплуатацию оборудования связи»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6047_4020964711">
            <w:r>
              <w:rPr>
                <w:rStyle w:val="Style14"/>
              </w:rPr>
              <w:t>1.3. Цель использования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6049_4020964711">
            <w:r>
              <w:rPr>
                <w:rStyle w:val="Style14"/>
              </w:rPr>
              <w:t>1.4. Существующее положение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6051_4020964711">
            <w:r>
              <w:rPr>
                <w:rStyle w:val="Style14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76053_4020964711">
            <w:r>
              <w:rPr>
                <w:rStyle w:val="Style14"/>
              </w:rPr>
              <w:t xml:space="preserve">2. </w:t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rStyle w:val="Style14"/>
              </w:rPr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6055_4020964711">
            <w:r>
              <w:rPr>
                <w:rStyle w:val="Style14"/>
              </w:rPr>
              <w:t>2.1. Требования к объемам и срокам поставки</w:t>
              <w:tab/>
              <w:t>3</w:t>
            </w:r>
          </w:hyperlink>
        </w:p>
        <w:p>
          <w:pPr>
            <w:pStyle w:val="TOC3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76057_4020964711">
            <w:r>
              <w:rPr>
                <w:rStyle w:val="Style14"/>
              </w:rPr>
              <w:t>2.1.1. Перечень и объем закупаемой продукции</w:t>
              <w:tab/>
              <w:t>3</w:t>
            </w:r>
          </w:hyperlink>
        </w:p>
        <w:p>
          <w:pPr>
            <w:pStyle w:val="TOC3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76059_4020964711">
            <w:r>
              <w:rPr>
                <w:rStyle w:val="Style14"/>
              </w:rPr>
              <w:t>2.1.2. Требования к срокам поставки продукции и оказания сопутствующих услуг</w:t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6061_4020964711">
            <w:r>
              <w:rPr>
                <w:rStyle w:val="Style14"/>
              </w:rPr>
              <w:t>2.2. Требования к качеству продукции</w:t>
              <w:tab/>
              <w:t>5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76063_4020964711">
            <w:r>
              <w:rPr>
                <w:rStyle w:val="Style14"/>
              </w:rPr>
              <w:t>3. Требования к документации по ценообразованию на этапе закупки</w:t>
              <w:tab/>
              <w:t>103</w:t>
            </w:r>
          </w:hyperlink>
          <w:r>
            <w:rPr>
              <w:rStyle w:val="Style14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left" w:pos="567" w:leader="none"/>
          <w:tab w:val="right" w:pos="9911" w:leader="dot"/>
        </w:tabs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TOC4"/>
        <w:tabs>
          <w:tab w:val="clear" w:pos="708"/>
          <w:tab w:val="left" w:pos="1120" w:leader="none"/>
          <w:tab w:val="right" w:pos="9911" w:leader="dot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Heading2"/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0"/>
        </w:numPr>
        <w:ind w:left="5038" w:hanging="0"/>
        <w:rPr/>
      </w:pPr>
      <w:r>
        <w:rPr/>
      </w:r>
    </w:p>
    <w:p>
      <w:pPr>
        <w:pStyle w:val="Heading1"/>
        <w:keepNext w:val="true"/>
        <w:widowControl/>
        <w:numPr>
          <w:ilvl w:val="0"/>
          <w:numId w:val="3"/>
        </w:numPr>
        <w:suppressAutoHyphens w:val="true"/>
        <w:bidi w:val="0"/>
        <w:spacing w:before="120" w:after="60"/>
        <w:ind w:left="397" w:right="0" w:hanging="340"/>
        <w:jc w:val="center"/>
        <w:rPr/>
      </w:pPr>
      <w:bookmarkStart w:id="0" w:name="__RefHeading___Toc76041_4020964711"/>
      <w:bookmarkStart w:id="1" w:name="_Toc161908468"/>
      <w:bookmarkStart w:id="2" w:name="_Toc51339692"/>
      <w:bookmarkEnd w:id="0"/>
      <w:r>
        <w:rPr/>
        <w:t>Общие сведения</w:t>
      </w:r>
      <w:bookmarkEnd w:id="1"/>
      <w:bookmarkEnd w:id="2"/>
    </w:p>
    <w:p>
      <w:pPr>
        <w:pStyle w:val="Normal"/>
        <w:rPr/>
      </w:pPr>
      <w:r>
        <w:rPr/>
      </w:r>
    </w:p>
    <w:p>
      <w:pPr>
        <w:pStyle w:val="Heading4"/>
        <w:numPr>
          <w:ilvl w:val="1"/>
          <w:numId w:val="3"/>
        </w:numPr>
        <w:rPr/>
      </w:pPr>
      <w:bookmarkStart w:id="3" w:name="__RefHeading___Toc76043_4020964711"/>
      <w:bookmarkStart w:id="4" w:name="_Toc46743505"/>
      <w:bookmarkStart w:id="5" w:name="_Toc161908469"/>
      <w:bookmarkEnd w:id="3"/>
      <w:r>
        <w:rPr/>
        <w:t>Обозначения и сокращения</w:t>
      </w:r>
      <w:bookmarkEnd w:id="4"/>
      <w:bookmarkEnd w:id="5"/>
    </w:p>
    <w:p>
      <w:pPr>
        <w:pStyle w:val="Normal"/>
        <w:rPr/>
      </w:pPr>
      <w:r>
        <w:rPr/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0" w:lastColumn="0" w:firstColumn="0" w:val="0000" w:noHBand="0" w:noVBand="0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rStyle w:val="Style8"/>
                <w:b w:val="false"/>
                <w:bCs/>
                <w:i w:val="false"/>
                <w:color w:val="000000"/>
                <w:sz w:val="24"/>
                <w:szCs w:val="24"/>
                <w:shd w:fill="auto" w:val="clear"/>
              </w:rPr>
              <w:t>ТТ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rStyle w:val="Style8"/>
                <w:b w:val="false"/>
                <w:bCs/>
                <w:i w:val="false"/>
                <w:color w:val="000000"/>
                <w:sz w:val="24"/>
                <w:szCs w:val="24"/>
                <w:shd w:fill="auto" w:val="clear"/>
              </w:rPr>
              <w:t>ССИТС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rStyle w:val="Style8"/>
                <w:b w:val="false"/>
                <w:bCs/>
                <w:i w:val="false"/>
                <w:iCs/>
                <w:color w:val="000000"/>
                <w:sz w:val="24"/>
                <w:szCs w:val="24"/>
                <w:shd w:fill="auto" w:val="clear"/>
              </w:rPr>
              <w:t>Технические требования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rStyle w:val="Style8"/>
                <w:rFonts w:eastAsia="Calibri"/>
                <w:b w:val="false"/>
                <w:bCs/>
                <w:i w:val="false"/>
                <w:iCs/>
                <w:color w:val="000000"/>
                <w:sz w:val="24"/>
                <w:szCs w:val="24"/>
                <w:shd w:fill="auto" w:val="clear"/>
                <w:lang w:eastAsia="x-none"/>
              </w:rPr>
              <w:t>Служба связи, информационных и технологических систем</w:t>
            </w:r>
          </w:p>
        </w:tc>
      </w:tr>
    </w:tbl>
    <w:p>
      <w:pPr>
        <w:pStyle w:val="Heading4"/>
        <w:numPr>
          <w:ilvl w:val="0"/>
          <w:numId w:val="0"/>
        </w:numPr>
        <w:ind w:left="432" w:hanging="0"/>
        <w:rPr/>
      </w:pPr>
      <w:r>
        <w:rPr/>
      </w:r>
    </w:p>
    <w:p>
      <w:pPr>
        <w:pStyle w:val="Heading4"/>
        <w:numPr>
          <w:ilvl w:val="1"/>
          <w:numId w:val="3"/>
        </w:numPr>
        <w:rPr/>
      </w:pPr>
      <w:bookmarkStart w:id="6" w:name="_Toc46743506"/>
      <w:r>
        <w:rPr/>
        <w:t>Наименование закупаемой продукции</w:t>
      </w:r>
      <w:bookmarkEnd w:id="6"/>
      <w:r>
        <w:rPr/>
        <w:t xml:space="preserve"> </w:t>
      </w:r>
    </w:p>
    <w:p>
      <w:pPr>
        <w:pStyle w:val="Heading4"/>
        <w:rPr/>
      </w:pPr>
      <w:r>
        <w:rPr/>
        <w:t>«</w:t>
      </w:r>
      <w:r>
        <w:rPr>
          <w:color w:val="000000" w:themeColor="text1"/>
          <w:lang w:eastAsia="en-US"/>
        </w:rPr>
        <w:t xml:space="preserve">ОКПД2 26.30.11.110  </w:t>
      </w:r>
      <w:r>
        <w:rPr/>
        <w:t xml:space="preserve">Поставка материально-технических ресурсов на </w:t>
      </w:r>
      <w:r>
        <w:rPr>
          <w:rStyle w:val="Style8"/>
          <w:b/>
          <w:bCs w:val="false"/>
          <w:i w:val="false"/>
          <w:color w:val="000000"/>
          <w:shd w:fill="auto" w:val="clear"/>
        </w:rPr>
        <w:t>содержание и эксплуатацию оборудования связи»</w:t>
      </w:r>
    </w:p>
    <w:p>
      <w:pPr>
        <w:pStyle w:val="Heading4"/>
        <w:numPr>
          <w:ilvl w:val="1"/>
          <w:numId w:val="3"/>
        </w:numPr>
        <w:rPr/>
      </w:pPr>
      <w:bookmarkStart w:id="7" w:name="__RefHeading___Toc76047_4020964711"/>
      <w:bookmarkStart w:id="8" w:name="_Toc161908471"/>
      <w:bookmarkStart w:id="9" w:name="_Toc46743507"/>
      <w:bookmarkEnd w:id="7"/>
      <w:r>
        <w:rPr/>
        <w:t xml:space="preserve">Цель </w:t>
      </w:r>
      <w:bookmarkEnd w:id="9"/>
      <w:r>
        <w:rPr/>
        <w:t>использования закупаемой продукции</w:t>
      </w:r>
      <w:bookmarkEnd w:id="8"/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120"/>
        <w:ind w:right="-2" w:firstLine="567"/>
        <w:jc w:val="both"/>
        <w:rPr/>
      </w:pPr>
      <w:r>
        <w:rPr>
          <w:rStyle w:val="Style8"/>
          <w:rFonts w:eastAsia="Calibri"/>
          <w:b w:val="false"/>
          <w:bCs/>
          <w:i w:val="false"/>
          <w:color w:val="000000"/>
          <w:sz w:val="24"/>
          <w:szCs w:val="24"/>
          <w:shd w:fill="auto" w:val="clear"/>
        </w:rPr>
        <w:t>Основной целью является, обеспечение производственного процесса путем бесперебойного функционирования систем связи и телекоммуникаций, автоматизированных систем управления технологическим процессом верхнего уровня, а также технологической автоматики и возбуждения.</w:t>
      </w:r>
    </w:p>
    <w:p>
      <w:pPr>
        <w:pStyle w:val="Heading4"/>
        <w:numPr>
          <w:ilvl w:val="1"/>
          <w:numId w:val="3"/>
        </w:numPr>
        <w:rPr/>
      </w:pPr>
      <w:bookmarkStart w:id="10" w:name="__RefHeading___Toc76049_4020964711"/>
      <w:bookmarkStart w:id="11" w:name="_Toc46743508"/>
      <w:bookmarkStart w:id="12" w:name="_Toc161908472"/>
      <w:bookmarkEnd w:id="10"/>
      <w:r>
        <w:rPr/>
        <w:t>Существующее положение</w:t>
      </w:r>
      <w:bookmarkEnd w:id="11"/>
      <w:bookmarkEnd w:id="12"/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120"/>
        <w:ind w:right="-2" w:firstLine="567"/>
        <w:jc w:val="both"/>
        <w:rPr/>
      </w:pPr>
      <w:r>
        <w:rPr>
          <w:rStyle w:val="Style8"/>
          <w:rFonts w:eastAsia="Calibri"/>
          <w:b w:val="false"/>
          <w:bCs/>
          <w:i w:val="false"/>
          <w:color w:val="000000"/>
          <w:sz w:val="24"/>
          <w:szCs w:val="24"/>
          <w:shd w:fill="auto" w:val="clear"/>
        </w:rPr>
        <w:t>В настоящий момент на Филиале ПАО «РусГидро» - «Камская ГЭС» находится в эксплуатации оборудование, с которым совместимы только оригинальные материально-технические ресурсы производителя, в связи с вышеизложенным, поставка некоторых позиций не подразумевает эквивалента</w:t>
      </w:r>
      <w:r>
        <w:rPr>
          <w:rStyle w:val="Style8"/>
          <w:i w:val="false"/>
          <w:iCs/>
          <w:color w:val="000000"/>
          <w:sz w:val="24"/>
          <w:szCs w:val="24"/>
          <w:shd w:fill="auto" w:val="clear"/>
        </w:rPr>
        <w:t>¹</w:t>
      </w:r>
      <w:r>
        <w:rPr>
          <w:rStyle w:val="Style8"/>
          <w:rFonts w:eastAsia="Calibri"/>
          <w:b w:val="false"/>
          <w:bCs/>
          <w:i w:val="false"/>
          <w:color w:val="000000"/>
          <w:sz w:val="24"/>
          <w:szCs w:val="24"/>
          <w:shd w:fill="auto" w:val="clear"/>
        </w:rPr>
        <w:t>, так как данные позиции являются элементом законченного устройства и обладают уникальными параметрами и характеристиками.</w:t>
      </w:r>
    </w:p>
    <w:p>
      <w:pPr>
        <w:pStyle w:val="Heading4"/>
        <w:numPr>
          <w:ilvl w:val="1"/>
          <w:numId w:val="3"/>
        </w:numPr>
        <w:rPr/>
      </w:pPr>
      <w:bookmarkStart w:id="13" w:name="__RefHeading___Toc76051_4020964711"/>
      <w:bookmarkStart w:id="14" w:name="_Hlk498576041"/>
      <w:bookmarkStart w:id="15" w:name="_Hlk49857604"/>
      <w:bookmarkStart w:id="16" w:name="_Toc467435091"/>
      <w:bookmarkStart w:id="17" w:name="_Toc46743509"/>
      <w:bookmarkStart w:id="18" w:name="_Toc161908473"/>
      <w:bookmarkEnd w:id="13"/>
      <w:r>
        <w:rPr/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</w:r>
      <w:bookmarkEnd w:id="14"/>
      <w:bookmarkEnd w:id="15"/>
      <w:bookmarkEnd w:id="16"/>
      <w:bookmarkEnd w:id="17"/>
      <w:bookmarkEnd w:id="18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120"/>
        <w:ind w:right="-2" w:hanging="0"/>
        <w:jc w:val="both"/>
        <w:rPr/>
      </w:pPr>
      <w:r>
        <w:rPr>
          <w:rStyle w:val="Style8"/>
          <w:rFonts w:eastAsia="Calibri"/>
          <w:bCs/>
          <w:i w:val="false"/>
          <w:color w:val="000000"/>
          <w:sz w:val="24"/>
          <w:szCs w:val="24"/>
          <w:shd w:fill="auto" w:val="clear"/>
        </w:rPr>
        <w:t xml:space="preserve">1.5.1. </w:t>
      </w:r>
      <w:r>
        <w:rPr>
          <w:rStyle w:val="Style8"/>
          <w:rFonts w:eastAsia="Calibri"/>
          <w:b w:val="false"/>
          <w:bCs/>
          <w:i w:val="false"/>
          <w:color w:val="000000"/>
          <w:sz w:val="24"/>
          <w:szCs w:val="24"/>
          <w:shd w:fill="auto" w:val="clear"/>
        </w:rPr>
        <w:t>Продукция поставляется одной партией.</w:t>
      </w:r>
    </w:p>
    <w:p>
      <w:pPr>
        <w:pStyle w:val="Normal"/>
        <w:spacing w:before="240" w:after="6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1.5.2. </w:t>
      </w:r>
      <w:r>
        <w:rPr>
          <w:sz w:val="24"/>
          <w:szCs w:val="24"/>
        </w:rPr>
        <w:t>Переход права собственности и риска случайной гибели продукции происходит в момент передачи продукции Покупателю (подписание товарной накладной ТОРГ-12).</w:t>
      </w:r>
    </w:p>
    <w:p>
      <w:pPr>
        <w:pStyle w:val="Normal"/>
        <w:spacing w:before="240" w:after="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Next w:val="true"/>
        <w:widowControl/>
        <w:numPr>
          <w:ilvl w:val="0"/>
          <w:numId w:val="3"/>
        </w:numPr>
        <w:suppressAutoHyphens w:val="true"/>
        <w:bidi w:val="0"/>
        <w:spacing w:before="120" w:after="60"/>
        <w:ind w:left="0" w:right="0" w:hanging="0"/>
        <w:jc w:val="center"/>
        <w:rPr/>
      </w:pPr>
      <w:bookmarkStart w:id="19" w:name="__RefHeading___Toc76053_4020964711"/>
      <w:bookmarkStart w:id="20" w:name="_Toc161908474"/>
      <w:bookmarkStart w:id="21" w:name="_Toc51339693"/>
      <w:bookmarkEnd w:id="19"/>
      <w:r>
        <w:rPr/>
        <w:t>Требования к продукции</w:t>
      </w:r>
      <w:bookmarkEnd w:id="20"/>
      <w:bookmarkEnd w:id="21"/>
    </w:p>
    <w:p>
      <w:pPr>
        <w:pStyle w:val="Heading4"/>
        <w:numPr>
          <w:ilvl w:val="1"/>
          <w:numId w:val="3"/>
        </w:numPr>
        <w:rPr/>
      </w:pPr>
      <w:bookmarkStart w:id="22" w:name="__RefHeading___Toc76055_4020964711"/>
      <w:bookmarkStart w:id="23" w:name="_Toc161908475"/>
      <w:bookmarkEnd w:id="22"/>
      <w:r>
        <w:rPr/>
        <w:t>Требования к объемам и срокам поставки</w:t>
      </w:r>
      <w:bookmarkEnd w:id="23"/>
    </w:p>
    <w:p>
      <w:pPr>
        <w:pStyle w:val="Heading3"/>
        <w:numPr>
          <w:ilvl w:val="2"/>
          <w:numId w:val="3"/>
        </w:numPr>
        <w:rPr/>
      </w:pPr>
      <w:bookmarkStart w:id="24" w:name="__RefHeading___Toc76057_4020964711"/>
      <w:bookmarkStart w:id="25" w:name="_Toc161908476"/>
      <w:bookmarkEnd w:id="24"/>
      <w:r>
        <w:rPr/>
        <w:t>Перечень и объем закупаемой продукции</w:t>
      </w:r>
      <w:bookmarkEnd w:id="25"/>
    </w:p>
    <w:p>
      <w:pPr>
        <w:pStyle w:val="Normal"/>
        <w:ind w:firstLine="720"/>
        <w:rPr/>
      </w:pPr>
      <w:bookmarkStart w:id="26" w:name="_Toc51339695"/>
      <w:r>
        <w:rPr>
          <w:b/>
          <w:sz w:val="24"/>
          <w:szCs w:val="24"/>
        </w:rPr>
        <w:t xml:space="preserve">Таблица 1.1 Перечень </w:t>
      </w:r>
      <w:bookmarkEnd w:id="26"/>
      <w:r>
        <w:rPr>
          <w:b/>
          <w:sz w:val="24"/>
          <w:szCs w:val="24"/>
        </w:rPr>
        <w:t>и объем закупаемой продукции</w:t>
      </w:r>
    </w:p>
    <w:tbl>
      <w:tblPr>
        <w:tblW w:w="10439" w:type="dxa"/>
        <w:jc w:val="left"/>
        <w:tblInd w:w="1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21"/>
        <w:gridCol w:w="7875"/>
        <w:gridCol w:w="1256"/>
        <w:gridCol w:w="686"/>
      </w:tblGrid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п/п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Наименование продукции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Ед. измерения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Кол-во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>
        <w:trPr>
          <w:trHeight w:val="399" w:hRule="atLeast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 Avaya DECT 3730 (Артикул 700513191)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Зарядное устройство Avaya DECT HANDSET BASIC CHRGR EU (Артикул 700466253)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</w:t>
            </w:r>
            <w:r>
              <w:rPr>
                <w:sz w:val="20"/>
                <w:szCs w:val="20"/>
                <w:lang w:val="en-US"/>
              </w:rPr>
              <w:t xml:space="preserve"> Avaya DECT 3720/3730 HANDSET BATTERY PACK (</w:t>
            </w:r>
            <w:r>
              <w:rPr>
                <w:sz w:val="20"/>
                <w:szCs w:val="20"/>
              </w:rPr>
              <w:t>Артикул</w:t>
            </w:r>
            <w:r>
              <w:rPr>
                <w:sz w:val="20"/>
                <w:szCs w:val="20"/>
                <w:lang w:val="en-US"/>
              </w:rPr>
              <w:t xml:space="preserve"> 700466683)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</w:t>
            </w:r>
            <w:r>
              <w:rPr>
                <w:sz w:val="20"/>
                <w:szCs w:val="20"/>
                <w:lang w:val="en-US"/>
              </w:rPr>
              <w:t xml:space="preserve"> Avaya DECT R4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мониторинга VUTLAN VT225t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дыма, влажности и температуры  VT460 VUTLAN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VT500 VUTLAN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переменного напряжения VT520 VUTLAN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свинцово-кислотный, AGM, типа Delta DTM 1205 (12V / 5 Ah) или эквивалент1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свинцово-кислотный, AGM, типа Delta DTM 1217 (12V / 17 Ah) или эквивалент1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Li-ion типоразмер 18650 2500 mAh IMR 20А без защиты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АА 2700 mAh 1,2В NiMH [HR6-2BL]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ААА 900-1000 mAh 1,2В NiMh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типоразмер 6F22 (крона), ёмкость 200 мА*ч, тип Ni-Mh, 9 В.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Аккумуляторная перезаряжаема батарейка Li-ion АА 1,5V 2600-2700 mWh со встроенным Type-C разъёмом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алкалиновый  А23 (3LR50,  MN21, K23A) 12 В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Буферная батарея 3.6В S7-400 6ES7971-0BA00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АА (LR6) 1,5В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ААА (LR03) 1,5В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LR14/C), 1,5В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тип Крона, 9В/6LF22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А332/LR10 1.5 В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AG13/LR44 1.5 В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AG12/LR43 1.5 В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CR2032, Lithium, 3V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CR 2/3 A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Инвертор DC/AC-48(60)/220B-1500BA-2U BP ФОРПОСТ со встроенным симисторным байпасом, артикул: 15-44802  или эквивалент¹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Шнур для телефонной трубки витой (2м/0,4м)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Вышка тура ВСП 250-0.7×1.6 базовый блок + 4 секции (6.3 м.) с комплектом опор стабилизаторов вышки туры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Управляемый блок удаленного распределения и мониторинга питания NetPing 2-PWR-220 v33-GSM3G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 видеокамера Beward  SV81715-R23 или эквивалент</w:t>
            </w:r>
            <w:r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>
      <w:pPr>
        <w:pStyle w:val="Heading3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7" w:name="__RefHeading___Toc76059_4020964711"/>
      <w:bookmarkStart w:id="28" w:name="_Toc161908477"/>
      <w:bookmarkStart w:id="29" w:name="_Toc51339696"/>
      <w:bookmarkEnd w:id="27"/>
      <w:r>
        <w:rPr/>
        <w:t xml:space="preserve">Требования </w:t>
      </w:r>
      <w:bookmarkEnd w:id="29"/>
      <w:r>
        <w:rPr/>
        <w:t>к срокам поставки продукции</w:t>
      </w:r>
      <w:bookmarkEnd w:id="28"/>
      <w:r>
        <w:rPr/>
        <w:t>.</w:t>
      </w:r>
    </w:p>
    <w:p>
      <w:pPr>
        <w:pStyle w:val="Normal"/>
        <w:ind w:firstLine="720"/>
        <w:rPr>
          <w:b/>
          <w:bCs/>
        </w:rPr>
      </w:pPr>
      <w:r>
        <w:rPr>
          <w:b/>
          <w:bCs/>
          <w:sz w:val="24"/>
          <w:szCs w:val="24"/>
        </w:rPr>
        <w:t>Таблица 2.1 Требования по срокам поставки продукции</w:t>
      </w:r>
    </w:p>
    <w:p>
      <w:pPr>
        <w:pStyle w:val="Normal"/>
        <w:ind w:firstLine="720"/>
        <w:rPr>
          <w:sz w:val="24"/>
          <w:szCs w:val="24"/>
        </w:rPr>
      </w:pPr>
      <w:r>
        <w:rPr>
          <w:sz w:val="24"/>
          <w:szCs w:val="24"/>
        </w:rPr>
      </w:r>
      <w:bookmarkStart w:id="30" w:name="_Toc467435101"/>
      <w:bookmarkStart w:id="31" w:name="_Toc501251261"/>
      <w:bookmarkStart w:id="32" w:name="_Toc467435101"/>
      <w:bookmarkStart w:id="33" w:name="_Toc501251261"/>
      <w:bookmarkEnd w:id="32"/>
      <w:bookmarkEnd w:id="33"/>
    </w:p>
    <w:tbl>
      <w:tblPr>
        <w:tblW w:w="10499" w:type="dxa"/>
        <w:jc w:val="left"/>
        <w:tblInd w:w="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57"/>
        <w:gridCol w:w="5731"/>
        <w:gridCol w:w="2724"/>
        <w:gridCol w:w="1486"/>
      </w:tblGrid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п/п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Наименование продукции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>
        <w:trPr>
          <w:trHeight w:val="399" w:hRule="atLeast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 Avaya DECT 3730 (Артикул 700513191)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Зарядное устройство Avaya DECT HANDSET BASIC CHRGR EU (Артикул 700466253)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</w:t>
            </w:r>
            <w:r>
              <w:rPr>
                <w:sz w:val="20"/>
                <w:szCs w:val="20"/>
                <w:lang w:val="en-US"/>
              </w:rPr>
              <w:t xml:space="preserve"> Avaya DECT 3720/3730 HANDSET BATTERY PACK (</w:t>
            </w:r>
            <w:r>
              <w:rPr>
                <w:sz w:val="20"/>
                <w:szCs w:val="20"/>
              </w:rPr>
              <w:t>Артикул</w:t>
            </w:r>
            <w:r>
              <w:rPr>
                <w:sz w:val="20"/>
                <w:szCs w:val="20"/>
                <w:lang w:val="en-US"/>
              </w:rPr>
              <w:t xml:space="preserve"> 700466683)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</w:t>
            </w:r>
            <w:r>
              <w:rPr>
                <w:sz w:val="20"/>
                <w:szCs w:val="20"/>
                <w:lang w:val="en-US"/>
              </w:rPr>
              <w:t xml:space="preserve"> Avaya DECT R4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мониторинга VUTLAN VT225t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дыма, влажности и температуры  VT460 VUTLAN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VT500 VUTLAN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переменного напряжения VT520 VUTLAN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свинцово-кислотный, AGM, типа Delta DTM 1205 (12V / 5 Ah) или эквивалент1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свинцово-кислотный, AGM, типа Delta DTM 1217 (12V / 17 Ah) или эквивалент1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Li-ion типоразмер 18650 2500 mAh IMR 20А без защиты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АА 2700 mAh 1,2В NiMH [HR6-2BL]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ААА 900-1000 mAh 1,2В NiMh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типоразмер 6F22 (крона), ёмкость 200 мА*ч, тип Ni-Mh, 9 В.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Аккумуляторная перезаряжаема батарейка Li-ion АА 1,5V 2600-2700 mWh со встроенным Type-C разъёмом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алкалиновый  А23 (3LR50,  MN21, K23A) 12 В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Буферная батарея 3.6В S7-400 6ES7971-0BA00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АА (LR6) 1,5В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ААА (LR03) 1,5В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LR14/C), 1,5В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тип Крона, 9В/6LF22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А332/LR10 1.5 В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AG13/LR44 1.5 В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AG12/LR43 1.5 В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CR2032, Lithium, 3V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питания CR 2/3 A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Инвертор DC/AC-48(60)/220B-1500BA-2U BP ФОРПОСТ со встроенным симисторным байпасом, артикул: 15-44802  или эквивалент¹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Шнур для телефонной трубки витой (2м/0,4м)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Вышка тура ВСП 250-0.7×1.6 базовый блок + 4 секции (6.3 м.) с комплектом опор стабилизаторов вышки туры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Управляемый блок удаленного распределения и мониторинга питания NetPing 2-PWR-220 v33-GSM3G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  <w:tr>
        <w:trPr/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 видеокамера Beward  SV81715-R23 или эквивалент</w:t>
            </w:r>
            <w:r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30.11.2026г</w:t>
            </w:r>
          </w:p>
        </w:tc>
      </w:tr>
    </w:tbl>
    <w:p>
      <w:pPr>
        <w:sectPr>
          <w:type w:val="nextPage"/>
          <w:pgSz w:w="11906" w:h="16838"/>
          <w:pgMar w:left="1134" w:right="387" w:gutter="0" w:header="0" w:top="245" w:footer="0" w:bottom="709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>
          <w:rFonts w:ascii="Times New Roman" w:hAnsi="Times New Roman"/>
          <w:sz w:val="22"/>
          <w:szCs w:val="22"/>
        </w:rPr>
      </w:pPr>
      <w:bookmarkStart w:id="34" w:name="__RefHeading___Toc76061_4020964711"/>
      <w:bookmarkStart w:id="35" w:name="_Toc161908478"/>
      <w:bookmarkStart w:id="36" w:name="_Toc46743511"/>
      <w:bookmarkStart w:id="37" w:name="_Toc467435101_Копия_1"/>
      <w:bookmarkStart w:id="38" w:name="_Toc501251261_Копия_1"/>
      <w:bookmarkStart w:id="39" w:name="_Toc4674351011"/>
      <w:bookmarkStart w:id="40" w:name="_Toc5012512611"/>
      <w:bookmarkStart w:id="41" w:name="_Toc51339698"/>
      <w:bookmarkStart w:id="42" w:name="_Toc467435101_Копия_1_Копия_1"/>
      <w:bookmarkStart w:id="43" w:name="_Toc501251261_Копия_1_Копия_1"/>
      <w:bookmarkEnd w:id="34"/>
      <w:bookmarkEnd w:id="37"/>
      <w:bookmarkEnd w:id="38"/>
      <w:bookmarkEnd w:id="39"/>
      <w:bookmarkEnd w:id="40"/>
      <w:bookmarkEnd w:id="41"/>
      <w:bookmarkEnd w:id="42"/>
      <w:bookmarkEnd w:id="43"/>
      <w:r>
        <w:rPr>
          <w:sz w:val="22"/>
          <w:szCs w:val="22"/>
        </w:rPr>
        <w:t xml:space="preserve">Требования к </w:t>
      </w:r>
      <w:bookmarkEnd w:id="36"/>
      <w:r>
        <w:rPr>
          <w:sz w:val="22"/>
          <w:szCs w:val="22"/>
        </w:rPr>
        <w:t>качеству продукции</w:t>
      </w:r>
      <w:bookmarkEnd w:id="35"/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color w:val="C9211E"/>
          <w:sz w:val="22"/>
          <w:szCs w:val="22"/>
        </w:rPr>
        <w:tab/>
      </w:r>
      <w:bookmarkStart w:id="44" w:name="_Toc125458484"/>
      <w:r>
        <w:rPr>
          <w:b/>
          <w:sz w:val="22"/>
          <w:szCs w:val="22"/>
        </w:rPr>
        <w:t xml:space="preserve">Таблица 2.2.1. Наименование продукции (позиция №:1 Таблицы 1.1): </w:t>
      </w:r>
      <w:bookmarkEnd w:id="44"/>
      <w:r>
        <w:rPr>
          <w:b/>
          <w:sz w:val="22"/>
          <w:szCs w:val="22"/>
        </w:rPr>
        <w:t>Телефон Avaya DECT 3730 (Артикул 700513191)</w:t>
      </w:r>
    </w:p>
    <w:p>
      <w:pPr>
        <w:pStyle w:val="Normal"/>
        <w:rPr>
          <w:rFonts w:ascii="Times New Roman" w:hAnsi="Times New Roman"/>
          <w:color w:val="C9211E"/>
          <w:sz w:val="22"/>
          <w:szCs w:val="22"/>
        </w:rPr>
      </w:pPr>
      <w:r>
        <w:rPr>
          <w:color w:val="C9211E"/>
          <w:sz w:val="22"/>
          <w:szCs w:val="22"/>
        </w:rPr>
      </w:r>
    </w:p>
    <w:tbl>
      <w:tblPr>
        <w:tblW w:w="1491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3"/>
        <w:gridCol w:w="3999"/>
        <w:gridCol w:w="5670"/>
        <w:gridCol w:w="2551"/>
        <w:gridCol w:w="2097"/>
      </w:tblGrid>
      <w:tr>
        <w:trPr/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4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DECT телефон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Частотный диапазон работы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1880-1900 МГц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для работы в системе связи DECT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Avaya IP-DECT R4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Электропитание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Li-ion аккумулятор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работы в режиме ожидания/ разговора, не менее часов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170/5 часов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Экран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Цветной TFT-экран с подсветкой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-0…+40 °С;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Классификация по исполнению (пыле/влагозащита) IP40.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80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и Гарантийный талон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Инструкция по эксплуатации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741" w:hRule="atLeast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ind w:left="720" w:hanging="0"/>
        <w:rPr>
          <w:rFonts w:ascii="Times New Roman" w:hAnsi="Times New Roman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720" w:hanging="0"/>
        <w:rPr>
          <w:rFonts w:ascii="Times New Roman" w:hAnsi="Times New Roman"/>
          <w:sz w:val="22"/>
          <w:szCs w:val="22"/>
        </w:rPr>
      </w:pPr>
      <w:r>
        <w:rPr>
          <w:b/>
          <w:sz w:val="22"/>
          <w:szCs w:val="22"/>
        </w:rPr>
        <w:t>Таблица 2.2.2. Наименование продукции (позиция №: 2 Таблицы 1.1): Зарядное устройство Avaya DECT HANDSET BASIC CHRGR EU (Артикул 700466253) для телефона Avaya DECT 3730, 700513191</w:t>
      </w:r>
    </w:p>
    <w:tbl>
      <w:tblPr>
        <w:tblW w:w="1495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5"/>
        <w:gridCol w:w="3990"/>
        <w:gridCol w:w="5672"/>
        <w:gridCol w:w="2550"/>
        <w:gridCol w:w="2178"/>
      </w:tblGrid>
      <w:tr>
        <w:trPr/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4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Сетевое зарядное устройство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DECT телефона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для зарядки телефонов DECT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DECT-телефоны 3700-серии (Avaya DECT 3720, Avaya DECT 3725)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питающее напряжение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220 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Габариты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150х120х70 мм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корпуса</w:t>
            </w:r>
          </w:p>
        </w:tc>
        <w:tc>
          <w:tcPr>
            <w:tcW w:w="5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Пластик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-0…+40 °С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Зарядное устройство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и Гарантийный талон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Инструкция по эксплуатации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ind w:left="720" w:hanging="0"/>
        <w:rPr>
          <w:rFonts w:ascii="Times New Roman" w:hAnsi="Times New Roman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720" w:hanging="0"/>
        <w:rPr>
          <w:rFonts w:ascii="Times New Roman" w:hAnsi="Times New Roman"/>
          <w:sz w:val="22"/>
          <w:szCs w:val="22"/>
        </w:rPr>
      </w:pPr>
      <w:r>
        <w:rPr>
          <w:b/>
          <w:sz w:val="22"/>
          <w:szCs w:val="22"/>
        </w:rPr>
        <w:t>Таблица 2.2.3. Наименование продукции (позиция №: 3 Таблицы 1.1): Аккумулятор для Avaya DECT 3720/3730 HANDSET BATTERY PACK (Артикул 700466683)</w:t>
      </w:r>
    </w:p>
    <w:tbl>
      <w:tblPr>
        <w:tblW w:w="1495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3"/>
        <w:gridCol w:w="4001"/>
        <w:gridCol w:w="5669"/>
        <w:gridCol w:w="2550"/>
        <w:gridCol w:w="2142"/>
      </w:tblGrid>
      <w:tr>
        <w:trPr/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0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Сменная аккумуляторная батарея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Технология батареи: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Литий-ионная (Li-ion)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для установки в телефон DECT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Avaya DECT 3720/3730.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Напряжение: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3,7 В.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(не менее)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650 мАч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Аккумулятор, паспорт.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ind w:left="720" w:hanging="0"/>
        <w:rPr>
          <w:rFonts w:ascii="Times New Roman" w:hAnsi="Times New Roman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  <w:r>
        <w:rPr>
          <w:b/>
          <w:bCs/>
          <w:sz w:val="22"/>
          <w:szCs w:val="22"/>
        </w:rPr>
        <w:t>Таблица 2.2.4. Наименование продукции (позиция №: 4 Таблицы 1.1): База Avaya DECT R4</w:t>
      </w:r>
    </w:p>
    <w:tbl>
      <w:tblPr>
        <w:tblW w:w="1495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74"/>
        <w:gridCol w:w="3969"/>
        <w:gridCol w:w="5668"/>
        <w:gridCol w:w="2553"/>
        <w:gridCol w:w="2091"/>
      </w:tblGrid>
      <w:tr>
        <w:trPr/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Базовая станция DECT ISDN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Частотный диапазон работы,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1880-1900 МГц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46" w:hRule="atLeast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для работы в системе связи DECT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Avaya DECT R4 версия:3.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56" w:hRule="atLeast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Электропитание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PoE Avaya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каналов (одновременных вызовов)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90" w:hRule="atLeast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Выходов на внешние антенны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0 или 2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пластик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-40…+70 °С;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Маршрутизатор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Паспорт, гарантийный талон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Times New Roman" w:hAnsi="Times New Roman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45" w:name="_Toc125458480_Копия_2"/>
      <w:r>
        <w:rPr>
          <w:b/>
          <w:bCs/>
          <w:sz w:val="22"/>
          <w:szCs w:val="22"/>
        </w:rPr>
        <w:t xml:space="preserve">Таблица 2.2.5. Наименование продукции (позиция №: 5 Таблицы 1.1): </w:t>
      </w:r>
      <w:bookmarkEnd w:id="45"/>
      <w:r>
        <w:rPr>
          <w:b/>
          <w:bCs/>
          <w:sz w:val="22"/>
          <w:szCs w:val="22"/>
        </w:rPr>
        <w:t>Модуль мониторинга VUTLAN VT225t</w:t>
      </w:r>
    </w:p>
    <w:tbl>
      <w:tblPr>
        <w:tblW w:w="1495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3"/>
        <w:gridCol w:w="4001"/>
        <w:gridCol w:w="5669"/>
        <w:gridCol w:w="2550"/>
        <w:gridCol w:w="2142"/>
      </w:tblGrid>
      <w:tr>
        <w:trPr/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0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мониторинга помещений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для работы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с модулями и платами расширения, CAN модулями и датчиками, аналоговыми датчиками "VUTLAN"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Web, SNMP.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Сетевые характеристики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Доступ через интернет-браузер. LAN: Ethernet 10/100 Мбит. Совместимость с различными протоколами и сервисами: HTTP/HTTPS, SNMP (v1, 2c, 3), SMTP, Radius, Syslog, FTP, DHCP и клиентами OpenVPN.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Входы/слоты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входы для аналоговых датчиков RJ12 6P4C с автоматическим определением - 4 шт;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слот микро-USB-порт 2.0 - 1 шт;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слот для карты MicroSD - 1 шт;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выходы электронное реле12 В 0,25 А - 2 шт;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выходы "сухой контакт" - 2 шт;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Ethernet 10/100 Mbit/s - 1 шт;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слот "CAN" для подключения CAN-датчиков.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Кнопки: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кнопка сбороса настроек до заводских,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кнопка перезапуска устройства.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Светодиоды индикаторы: сети, работы шины CAN, ошибки, аварии.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Электропитание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питания от сети  220В через адаптер 220В АС/ 12В DC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Корпус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Пластик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(не хуже)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-0…+40 °С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225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 мониторинга VT225t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Сетевой адаптер 12 В, 1 А, 5,5*2,1 мм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Ethernet-кабель RJ-45, 2 м, белый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 OTG USB-C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Клемма 3P, 3,5 мм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Клемма 3P, 3,81 мм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талон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руководство по настройке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053" w:hRule="atLeast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color w:val="C9211E"/>
          <w:sz w:val="22"/>
          <w:szCs w:val="22"/>
        </w:rPr>
      </w:pPr>
      <w:r>
        <w:rPr>
          <w:color w:val="C9211E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46" w:name="_Toc125458480_Копия_2_Копия_1"/>
      <w:r>
        <w:rPr>
          <w:b/>
          <w:bCs/>
          <w:sz w:val="22"/>
          <w:szCs w:val="22"/>
        </w:rPr>
        <w:t xml:space="preserve">Таблица 2.2.6. Наименование продукции (позиция №: 6 Таблицы 1.1): </w:t>
      </w:r>
      <w:bookmarkEnd w:id="46"/>
      <w:r>
        <w:rPr>
          <w:b/>
          <w:bCs/>
          <w:sz w:val="22"/>
          <w:szCs w:val="22"/>
        </w:rPr>
        <w:t>Датчик дыма, влажности и температуры  VT460 VUTLAN</w:t>
      </w:r>
    </w:p>
    <w:tbl>
      <w:tblPr>
        <w:tblW w:w="1495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3"/>
        <w:gridCol w:w="4001"/>
        <w:gridCol w:w="5669"/>
        <w:gridCol w:w="2550"/>
        <w:gridCol w:w="2142"/>
      </w:tblGrid>
      <w:tr>
        <w:trPr/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0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мониторинга помещений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для работы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с модулями и платами расширения "VUTLAN".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Назначение: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появления дыма, измерение температуры и относительной влажности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Чувствительность к дыму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0,05 — 0,2 дБ / 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ответа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 секунд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Измеряемая влажность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- 0 .. 95% Rh, точность 3%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Измеряемая температура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-10 ... +85 ° С, точность 1 ° С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CAN портов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Корпус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Пластик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-10 ... +85 °С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225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  VT460 с крепежный комплектом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053" w:hRule="atLeast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47" w:name="_Toc125458480_Копия_2_Копия_2"/>
      <w:r>
        <w:rPr>
          <w:b/>
          <w:bCs/>
          <w:sz w:val="22"/>
          <w:szCs w:val="22"/>
        </w:rPr>
        <w:t xml:space="preserve">Таблица 2.2.7. Наименование продукции (позиция №: 7 Таблицы 1.1): </w:t>
      </w:r>
      <w:bookmarkEnd w:id="47"/>
      <w:r>
        <w:rPr>
          <w:b/>
          <w:bCs/>
          <w:sz w:val="22"/>
          <w:szCs w:val="22"/>
        </w:rPr>
        <w:t xml:space="preserve">Датчик температуры VT500 VUTLAN </w:t>
      </w:r>
    </w:p>
    <w:tbl>
      <w:tblPr>
        <w:tblW w:w="1495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3"/>
        <w:gridCol w:w="4001"/>
        <w:gridCol w:w="5669"/>
        <w:gridCol w:w="2550"/>
        <w:gridCol w:w="2142"/>
      </w:tblGrid>
      <w:tr>
        <w:trPr/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0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мониторинга помещений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для работы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с модулями и платами расширения "VUTLAN".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Назначение: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Измерение температуры на объектах.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Измеряемая температура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-40… +100°С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Точность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 °С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Корпус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Пластик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-40… +100°С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Размеры (Д×В×Ш)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60×18×18 мм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225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4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 температуры VT500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053" w:hRule="atLeast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color w:val="C9211E"/>
          <w:sz w:val="22"/>
          <w:szCs w:val="22"/>
        </w:rPr>
      </w:pPr>
      <w:r>
        <w:rPr>
          <w:color w:val="C9211E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48" w:name="_Toc125458480_Копия_2_Копия_3"/>
      <w:r>
        <w:rPr>
          <w:b/>
          <w:bCs/>
          <w:sz w:val="22"/>
          <w:szCs w:val="22"/>
        </w:rPr>
        <w:t xml:space="preserve">Таблица 2.2.8. Наименование продукции (позиция №: 8 Таблицы 1.1): </w:t>
      </w:r>
      <w:bookmarkEnd w:id="48"/>
      <w:r>
        <w:rPr>
          <w:b/>
          <w:bCs/>
          <w:sz w:val="22"/>
          <w:szCs w:val="22"/>
        </w:rPr>
        <w:t>Датчик переменного напряжения VT520 VUTLAN</w:t>
      </w:r>
    </w:p>
    <w:tbl>
      <w:tblPr>
        <w:tblW w:w="1501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4"/>
        <w:gridCol w:w="4000"/>
        <w:gridCol w:w="5667"/>
        <w:gridCol w:w="2551"/>
        <w:gridCol w:w="2203"/>
      </w:tblGrid>
      <w:tr>
        <w:trPr/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  <w:tc>
          <w:tcPr>
            <w:tcW w:w="4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0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мониторинга помещений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для работы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 с модулями и платами расширения "VUTLAN".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напряжения переменного тока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220 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C9211E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Измеряемое переменное напряжение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90... 250 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C9211E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Точность измерений 1 %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1 %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C9211E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длина линии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100 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C9211E"/>
                <w:sz w:val="22"/>
                <w:szCs w:val="22"/>
              </w:rPr>
            </w:pPr>
            <w:r>
              <w:rPr>
                <w:color w:val="C9211E"/>
                <w:sz w:val="22"/>
                <w:szCs w:val="22"/>
              </w:rPr>
            </w:r>
          </w:p>
        </w:tc>
      </w:tr>
      <w:tr>
        <w:trPr/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Размеры (Д×В×Ш)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63×66×40 мм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C9211E"/>
                <w:sz w:val="22"/>
                <w:szCs w:val="22"/>
              </w:rPr>
            </w:pPr>
            <w:r>
              <w:rPr>
                <w:color w:val="C9211E"/>
                <w:sz w:val="22"/>
                <w:szCs w:val="22"/>
              </w:rPr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Корпус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(не хуже)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-0…+40 °С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2250" w:hRule="atLeast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 переменного напряжения VT520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 USB /RG12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053" w:hRule="atLeast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ind w:left="720" w:hanging="0"/>
        <w:rPr>
          <w:rFonts w:ascii="Times New Roman" w:hAnsi="Times New Roman"/>
          <w:color w:val="C9211E"/>
          <w:sz w:val="22"/>
          <w:szCs w:val="22"/>
        </w:rPr>
      </w:pPr>
      <w:r>
        <w:rPr>
          <w:color w:val="C9211E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  <w:bookmarkStart w:id="49" w:name="_Toc125458480"/>
      <w:r>
        <w:rPr>
          <w:b/>
          <w:bCs/>
          <w:sz w:val="22"/>
          <w:szCs w:val="22"/>
        </w:rPr>
        <w:t xml:space="preserve">Таблица 2.2.9. Наименование продукции (позиция №: 9 Таблицы 1.1): </w:t>
      </w:r>
      <w:bookmarkEnd w:id="49"/>
      <w:r>
        <w:rPr>
          <w:b/>
          <w:bCs/>
          <w:sz w:val="22"/>
          <w:szCs w:val="22"/>
        </w:rPr>
        <w:t xml:space="preserve">Аккумулятор свинцово-кислотный, AGM, типа Delta DTM 1205  (12V-5,0 </w:t>
        <w:tab/>
        <w:t>Ah) или эквивалент¹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8"/>
        <w:gridCol w:w="3998"/>
        <w:gridCol w:w="5668"/>
        <w:gridCol w:w="2552"/>
        <w:gridCol w:w="2289"/>
      </w:tblGrid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Технология изготовления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AGM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напряжение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12B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5,0 -5,5 Ач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1.5.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Клеммы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FASTON 2 (зажим) 6,3 мм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1.6.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Д*Ш*В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(не более)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(ДхШхВ): 90 х 70 х 101 мм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1.7.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корпуса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Пластик ABS, не поддерживающий горение. Необслуживаемые. Не требует долива воды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283" w:hanging="0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  <w:r>
        <w:rPr>
          <w:b/>
          <w:bCs/>
          <w:sz w:val="22"/>
          <w:szCs w:val="22"/>
        </w:rPr>
        <w:t>Таблица 2.2.10. Наименование продукции (позиция №: 10 Таблицы 1.1): Аккумулятор свинцово-кислотный, AGM, типа Delta DTM 1217 (12V / 17 Ah) или эквивалент1</w:t>
      </w:r>
    </w:p>
    <w:tbl>
      <w:tblPr>
        <w:tblW w:w="1501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70"/>
        <w:gridCol w:w="3996"/>
        <w:gridCol w:w="5669"/>
        <w:gridCol w:w="2550"/>
        <w:gridCol w:w="2230"/>
      </w:tblGrid>
      <w:tr>
        <w:trPr/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Технология изготовления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AGM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напряжение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12B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17 Ач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1.5.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Клеммы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Болт+гайка Ø5.5мм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1.6.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Д*Ш*В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(не более)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(ДхШхВ): 181 х 77 х 167 мм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1.7.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корпуса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Пластик ABS, не поддерживающий горение. Необслуживаемые. Не требует долива воды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50" w:name="_Toc125458497_Копия_1"/>
      <w:r>
        <w:rPr>
          <w:b/>
          <w:bCs/>
          <w:sz w:val="22"/>
          <w:szCs w:val="22"/>
        </w:rPr>
        <w:t xml:space="preserve">Таблица 2.2.11. Наименование продукции (позиция №:11 Таблицы 1.1): </w:t>
      </w:r>
      <w:bookmarkEnd w:id="50"/>
      <w:r>
        <w:rPr>
          <w:b/>
          <w:bCs/>
          <w:sz w:val="22"/>
          <w:szCs w:val="22"/>
        </w:rPr>
        <w:t>Аккумулятор Li-ion типоразмер 18650 2500 mAh, IMR 20А без защиты</w:t>
      </w:r>
    </w:p>
    <w:tbl>
      <w:tblPr>
        <w:tblW w:w="1501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6"/>
        <w:gridCol w:w="3998"/>
        <w:gridCol w:w="5667"/>
        <w:gridCol w:w="2551"/>
        <w:gridCol w:w="2203"/>
      </w:tblGrid>
      <w:tr>
        <w:trPr/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18650 (168A)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Li-Ion, IMR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3.7 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аккумулятора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2500 мА*ч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ток разряда (не менее), А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</w:p>
    <w:p>
      <w:pPr>
        <w:pStyle w:val="Normal"/>
        <w:ind w:left="794" w:hanging="0"/>
        <w:rPr>
          <w:rFonts w:ascii="Times New Roman" w:hAnsi="Times New Roman"/>
          <w:sz w:val="22"/>
          <w:szCs w:val="22"/>
        </w:rPr>
      </w:pPr>
      <w:bookmarkStart w:id="51" w:name="_Toc125458493_Копия_1_Копия_2"/>
      <w:r>
        <w:rPr>
          <w:b/>
          <w:bCs/>
          <w:sz w:val="22"/>
          <w:szCs w:val="22"/>
        </w:rPr>
        <w:t xml:space="preserve">Таблица 2.2.12. Наименование продукции (позиция №:12  Таблицы 1.1): </w:t>
      </w:r>
      <w:bookmarkEnd w:id="51"/>
      <w:r>
        <w:rPr>
          <w:b/>
          <w:bCs/>
          <w:sz w:val="22"/>
          <w:szCs w:val="22"/>
        </w:rPr>
        <w:t>Аккумулятор АА 2700 mAh 1,2В NiMH [HR6-2BL]</w:t>
      </w:r>
    </w:p>
    <w:tbl>
      <w:tblPr>
        <w:tblW w:w="1501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6"/>
        <w:gridCol w:w="3998"/>
        <w:gridCol w:w="5667"/>
        <w:gridCol w:w="2551"/>
        <w:gridCol w:w="2203"/>
      </w:tblGrid>
      <w:tr>
        <w:trPr/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NiMH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 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аккумулятора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2700 мА*ч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поставки,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  <w:bookmarkStart w:id="52" w:name="_Toc125458495_Копия_1"/>
      <w:r>
        <w:rPr>
          <w:b/>
          <w:bCs/>
          <w:sz w:val="22"/>
          <w:szCs w:val="22"/>
        </w:rPr>
        <w:t xml:space="preserve">Таблица 2.2.13. Наименование продукции (позиция №:13 Таблицы 1.1): </w:t>
      </w:r>
      <w:bookmarkEnd w:id="52"/>
      <w:r>
        <w:rPr>
          <w:b/>
          <w:bCs/>
          <w:sz w:val="22"/>
          <w:szCs w:val="22"/>
        </w:rPr>
        <w:t>Аккумулятор ААА 900-1000 mAh 1,2В NiMh</w:t>
      </w:r>
    </w:p>
    <w:tbl>
      <w:tblPr>
        <w:tblW w:w="1501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6"/>
        <w:gridCol w:w="3998"/>
        <w:gridCol w:w="5667"/>
        <w:gridCol w:w="2551"/>
        <w:gridCol w:w="2203"/>
      </w:tblGrid>
      <w:tr>
        <w:trPr/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ААА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NiMH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 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аккумулятора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900-1000 мА*ч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53" w:name="_Toc125458495_Копия_1_Копия_1_Копия_1"/>
      <w:r>
        <w:rPr>
          <w:b/>
          <w:bCs/>
          <w:sz w:val="22"/>
          <w:szCs w:val="22"/>
        </w:rPr>
        <w:t xml:space="preserve">Таблица 2.2.14. Наименование продукции (позиция №:14 Таблицы 1.1): </w:t>
      </w:r>
      <w:bookmarkEnd w:id="53"/>
      <w:r>
        <w:rPr>
          <w:b/>
          <w:bCs/>
          <w:sz w:val="22"/>
          <w:szCs w:val="22"/>
        </w:rPr>
        <w:t xml:space="preserve"> Аккумулятор типоразмер 6F22 (крона), ёмкость 200 мА*ч, тип Ni-Mh, 9В.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37"/>
        <w:gridCol w:w="3880"/>
        <w:gridCol w:w="5671"/>
        <w:gridCol w:w="2551"/>
        <w:gridCol w:w="2236"/>
      </w:tblGrid>
      <w:tr>
        <w:trPr/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7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8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6FF22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Ni-Mh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9.0 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3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</w:t>
            </w: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200 мА*ч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3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color w:val="C9211E"/>
          <w:sz w:val="22"/>
          <w:szCs w:val="22"/>
        </w:rPr>
      </w:pPr>
      <w:r>
        <w:rPr>
          <w:b/>
          <w:bCs/>
          <w:color w:val="C9211E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  <w:bookmarkStart w:id="54" w:name="_Toc125458492_Копия_1"/>
      <w:r>
        <w:rPr>
          <w:b/>
          <w:bCs/>
          <w:sz w:val="22"/>
          <w:szCs w:val="22"/>
        </w:rPr>
        <w:t xml:space="preserve">Таблица 2.2.15. Наименование продукции (позиция №: 15 Таблицы 1.1): </w:t>
      </w:r>
      <w:bookmarkEnd w:id="54"/>
      <w:r>
        <w:rPr>
          <w:b/>
          <w:bCs/>
          <w:sz w:val="22"/>
          <w:szCs w:val="22"/>
        </w:rPr>
        <w:t>Аккумуляторная перезаряжаема батарейка Li-ion АА  1,5V  2600-2700 mWh со встроенным Type-C разъёмом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5"/>
        <w:gridCol w:w="3998"/>
        <w:gridCol w:w="5670"/>
        <w:gridCol w:w="2550"/>
        <w:gridCol w:w="2262"/>
      </w:tblGrid>
      <w:tr>
        <w:trPr/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Li-ion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1,5 V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(не менее)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2600 mWh (1733 mAh)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разъема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Type-C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-10…+40 °С;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Аккумуляторная перезаряжаема батарейка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  <w:bookmarkStart w:id="55" w:name="_Toc125458492_Копия_1_Копия_1"/>
      <w:r>
        <w:rPr>
          <w:b/>
          <w:bCs/>
          <w:sz w:val="22"/>
          <w:szCs w:val="22"/>
        </w:rPr>
        <w:t xml:space="preserve">Таблица 2.2.16. Наименование продукции (позиция №:16 Таблицы 1.1): </w:t>
      </w:r>
      <w:bookmarkEnd w:id="55"/>
      <w:r>
        <w:rPr>
          <w:b/>
          <w:bCs/>
          <w:sz w:val="22"/>
          <w:szCs w:val="22"/>
        </w:rPr>
        <w:t>Элемент питания алкалиновый  А23 (3LR50,  MN21, K23A) 12 В.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8"/>
        <w:gridCol w:w="3998"/>
        <w:gridCol w:w="5668"/>
        <w:gridCol w:w="2552"/>
        <w:gridCol w:w="2289"/>
      </w:tblGrid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А23 (3LR50,  MN21, K23A)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Алкалиновая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12 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-10…+40 °С;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color w:val="C9211E"/>
          <w:sz w:val="22"/>
          <w:szCs w:val="22"/>
        </w:rPr>
        <w:tab/>
      </w:r>
      <w:bookmarkStart w:id="56" w:name="_Toc125458492_Копия_1_Копия_1_Копия_1"/>
      <w:r>
        <w:rPr>
          <w:b/>
          <w:bCs/>
          <w:sz w:val="22"/>
          <w:szCs w:val="22"/>
        </w:rPr>
        <w:t xml:space="preserve">Таблица 2.2.17. Наименование продукции (позиция №: 17 Таблицы 1.1): </w:t>
      </w:r>
      <w:bookmarkEnd w:id="56"/>
      <w:r>
        <w:rPr>
          <w:b/>
          <w:bCs/>
          <w:sz w:val="22"/>
          <w:szCs w:val="22"/>
        </w:rPr>
        <w:t>Буферная батарея  3.6В  S7-400 6ES7971-0BA00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5"/>
        <w:gridCol w:w="3998"/>
        <w:gridCol w:w="5670"/>
        <w:gridCol w:w="2550"/>
        <w:gridCol w:w="2262"/>
      </w:tblGrid>
      <w:tr>
        <w:trPr/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АА (без выводов)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Li-SOCl2 (литий-тионилхлоридная)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3,6 V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(не менее)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2400 mAh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-10…+40 °С;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Буферная батарея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57" w:name="_Toc125458492"/>
      <w:r>
        <w:rPr>
          <w:b/>
          <w:bCs/>
          <w:sz w:val="22"/>
          <w:szCs w:val="22"/>
        </w:rPr>
        <w:t xml:space="preserve">Таблица 2.2.18. Наименование продукции (позиция №:18  Таблицы 1.1): </w:t>
      </w:r>
      <w:bookmarkEnd w:id="57"/>
      <w:r>
        <w:rPr>
          <w:b/>
          <w:bCs/>
          <w:sz w:val="22"/>
          <w:szCs w:val="22"/>
        </w:rPr>
        <w:t>Элемент питания АА (LR6) 1,5В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5"/>
        <w:gridCol w:w="3998"/>
        <w:gridCol w:w="5670"/>
        <w:gridCol w:w="2550"/>
        <w:gridCol w:w="2262"/>
      </w:tblGrid>
      <w:tr>
        <w:trPr/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Щелочная/алкалиновая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 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AA/(R6;LR6;FR6)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-18…+55 °С;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58" w:name="_Toc125458493"/>
      <w:r>
        <w:rPr>
          <w:b/>
          <w:bCs/>
          <w:sz w:val="22"/>
          <w:szCs w:val="22"/>
        </w:rPr>
        <w:t>Таблица 2.2.19. Наименование продукции (позиция №:19  Таблицы 1.1): Элемент питания ААА (LR03), 1,5 В</w:t>
      </w:r>
      <w:bookmarkEnd w:id="58"/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5"/>
        <w:gridCol w:w="3998"/>
        <w:gridCol w:w="5670"/>
        <w:gridCol w:w="2550"/>
        <w:gridCol w:w="2262"/>
      </w:tblGrid>
      <w:tr>
        <w:trPr/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Щелочная/алкалиновая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1,5 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AAA/(R03;LR03;FR03)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59" w:name="_Toc125458493_Копия_1"/>
      <w:r>
        <w:rPr>
          <w:b/>
          <w:bCs/>
          <w:sz w:val="22"/>
          <w:szCs w:val="22"/>
        </w:rPr>
        <w:t xml:space="preserve">Таблица 2.2.20. Наименование продукции (позиция №:20  Таблицы 1.1): </w:t>
      </w:r>
      <w:bookmarkEnd w:id="59"/>
      <w:r>
        <w:rPr>
          <w:b/>
          <w:bCs/>
          <w:sz w:val="22"/>
          <w:szCs w:val="22"/>
        </w:rPr>
        <w:t>Элемент питания LR14/C), 1,5В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5"/>
        <w:gridCol w:w="3998"/>
        <w:gridCol w:w="5670"/>
        <w:gridCol w:w="2550"/>
        <w:gridCol w:w="2262"/>
      </w:tblGrid>
      <w:tr>
        <w:trPr/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Щелочная/алкалиновая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1,5 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LR14/C)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60" w:name="_Toc125458495"/>
      <w:r>
        <w:rPr>
          <w:b/>
          <w:bCs/>
          <w:sz w:val="22"/>
          <w:szCs w:val="22"/>
        </w:rPr>
        <w:t xml:space="preserve">Таблица 2.2.21. Наименование продукции (позиция №:21 Таблицы 1.1): </w:t>
      </w:r>
      <w:bookmarkEnd w:id="60"/>
      <w:r>
        <w:rPr>
          <w:b/>
          <w:bCs/>
          <w:sz w:val="22"/>
          <w:szCs w:val="22"/>
        </w:rPr>
        <w:t xml:space="preserve"> Элемент питания тип Крона, 9В/6LF22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75"/>
        <w:gridCol w:w="3900"/>
        <w:gridCol w:w="5668"/>
        <w:gridCol w:w="2552"/>
        <w:gridCol w:w="2280"/>
      </w:tblGrid>
      <w:tr>
        <w:trPr/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6LF22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щелочная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9.0 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3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61" w:name="_Toc125458495_Копия_2"/>
      <w:r>
        <w:rPr>
          <w:b/>
          <w:bCs/>
          <w:sz w:val="22"/>
          <w:szCs w:val="22"/>
        </w:rPr>
        <w:t xml:space="preserve">Таблица 2.2.22. Наименование продукции (позиция №:22 Таблицы 1.1): </w:t>
      </w:r>
      <w:bookmarkEnd w:id="61"/>
      <w:r>
        <w:rPr>
          <w:b/>
          <w:bCs/>
          <w:sz w:val="22"/>
          <w:szCs w:val="22"/>
        </w:rPr>
        <w:t xml:space="preserve">Элемент питания А332/LR10 1.5 В 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5"/>
        <w:gridCol w:w="3986"/>
        <w:gridCol w:w="5668"/>
        <w:gridCol w:w="2554"/>
        <w:gridCol w:w="2302"/>
      </w:tblGrid>
      <w:tr>
        <w:trPr/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А332/LR10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Щелочная (алкалиновая)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 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3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62" w:name="_Toc125458495_Копия_2_Копия_1"/>
      <w:r>
        <w:rPr>
          <w:b/>
          <w:bCs/>
          <w:sz w:val="22"/>
          <w:szCs w:val="22"/>
        </w:rPr>
        <w:t xml:space="preserve">Таблица 2.2.23. Наименование продукции (позиция №:23 Таблицы 1.1): </w:t>
      </w:r>
      <w:bookmarkEnd w:id="62"/>
      <w:r>
        <w:rPr>
          <w:b/>
          <w:bCs/>
          <w:sz w:val="22"/>
          <w:szCs w:val="22"/>
        </w:rPr>
        <w:t>Элемент питания AG13/LR44 1.5 В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5"/>
        <w:gridCol w:w="3986"/>
        <w:gridCol w:w="5668"/>
        <w:gridCol w:w="2554"/>
        <w:gridCol w:w="2302"/>
      </w:tblGrid>
      <w:tr>
        <w:trPr/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AG13/LR44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Щелочная (алкалиновая)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 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3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63" w:name="_Toc125458495_Копия_2_Копия_1_Копия_1"/>
      <w:r>
        <w:rPr>
          <w:b/>
          <w:bCs/>
          <w:sz w:val="22"/>
          <w:szCs w:val="22"/>
        </w:rPr>
        <w:t xml:space="preserve">Таблица 2.2.24. Наименование продукции (позиция №:24 Таблицы 1.1): </w:t>
      </w:r>
      <w:bookmarkEnd w:id="63"/>
      <w:r>
        <w:rPr>
          <w:b/>
          <w:bCs/>
          <w:sz w:val="22"/>
          <w:szCs w:val="22"/>
        </w:rPr>
        <w:t>Элемент питания AG12/LR43 1.5 В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5"/>
        <w:gridCol w:w="3986"/>
        <w:gridCol w:w="5668"/>
        <w:gridCol w:w="2554"/>
        <w:gridCol w:w="2302"/>
      </w:tblGrid>
      <w:tr>
        <w:trPr/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AG12/LR43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щелочная(алкалиновая)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 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3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  <w:t>Таблица 2.2.25. Наименование продукции (позиция №:25 Таблицы 1.1): Элемент питания CR2032, Lithium, 3V</w:t>
      </w:r>
    </w:p>
    <w:tbl>
      <w:tblPr>
        <w:tblW w:w="1503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5"/>
        <w:gridCol w:w="3986"/>
        <w:gridCol w:w="5669"/>
        <w:gridCol w:w="2552"/>
        <w:gridCol w:w="2258"/>
      </w:tblGrid>
      <w:tr>
        <w:trPr/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CR2032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аккумулятора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Li-Ion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3.0 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-20…+60 °С;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3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  <w:t>Таблица 2.2.26. Наименование продукции (позиция №:26 Таблицы 1.1): Элемент питания CR 2/3 A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5"/>
        <w:gridCol w:w="3986"/>
        <w:gridCol w:w="5668"/>
        <w:gridCol w:w="2554"/>
        <w:gridCol w:w="2302"/>
      </w:tblGrid>
      <w:tr>
        <w:trPr/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 (форм фактор)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CR 2/3 A (без выводов)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Li-SOCl2 (литий-тионилхлоридная)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3.6 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окружающей среды: -20…+40 °С;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3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color w:val="C9211E"/>
          <w:sz w:val="22"/>
          <w:szCs w:val="22"/>
        </w:rPr>
      </w:pPr>
      <w:r>
        <w:rPr>
          <w:b/>
          <w:bCs/>
          <w:color w:val="C9211E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  <w:t>Таблица 2.2.27. Наименование продукции (позиция №:27 Таблицы 1.1): Инвертор DC/AC-48(60)/220B-1500BA-2U BP  ФОРПОСТ со встроенным симисторным байпасом, артикул: 15-44802  или эквивалент1¹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75"/>
        <w:gridCol w:w="3861"/>
        <w:gridCol w:w="5668"/>
        <w:gridCol w:w="2552"/>
        <w:gridCol w:w="2319"/>
      </w:tblGrid>
      <w:tr>
        <w:trPr/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8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показатели), пок</w:t>
            </w:r>
            <w:r>
              <w:rPr>
                <w:b/>
                <w:bCs/>
                <w:color w:val="auto"/>
                <w:sz w:val="22"/>
                <w:szCs w:val="22"/>
              </w:rPr>
              <w:t>азатели эквивалентности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Тип: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Инвертор напряжения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входное напряжение постоянного тока, В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en-US"/>
              </w:rPr>
              <w:t>48 — 60 В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C9211E"/>
                <w:sz w:val="22"/>
                <w:szCs w:val="22"/>
              </w:rPr>
            </w:pPr>
            <w:r>
              <w:rPr>
                <w:color w:val="C9211E"/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Диапазон входного напряжения постоянного тока, В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en-US"/>
              </w:rPr>
              <w:t>(40…72)±1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C9211E"/>
                <w:sz w:val="22"/>
                <w:szCs w:val="22"/>
              </w:rPr>
            </w:pPr>
            <w:r>
              <w:rPr>
                <w:color w:val="C9211E"/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Диапазон входного напряжения переменного тока (при работе через байпас), В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220±33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потребляемый ток от источника постоянного тока не более, А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28,0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C9211E"/>
                <w:sz w:val="22"/>
                <w:szCs w:val="22"/>
              </w:rPr>
            </w:pPr>
            <w:r>
              <w:rPr>
                <w:color w:val="C9211E"/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охлаждения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принудительное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Допустимые пульсации входного напряжения постоянного тока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1%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Входное напряжение отключения инвертора, В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39±1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1.9.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Входное напряжение включения инвертора, В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44,5±1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1.10.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Выходное напряжение при холостом ходе (при работе от источника постоянного тока), В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221±1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1.11.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Установившееся отклонение частоты от номинального значения 50Гц, не более %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±0,5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1.12.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Статическое отклонение выходного напряжения в полном диапазоне нагрузки (при работе от источника постоянного тока), не более В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±1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1.13.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Динамическое отклонение выходного напряжения при сбросе-набросе нагрузки от 100% до 0% максимального значения и обратно в течение 0,1с, не более, %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±5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1.14.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искажения синусоидальности кривой выходного напряжения, %, при активной нагрузке, не более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1.15.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полезного действия при номинальной нагрузке, не менее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1.16.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Выходная мощность, Вт / ВА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1000/1500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1.17.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амплитуды тока нагрузки (крест-фактор)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3:1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1.18.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нелинейных искажений, не более, %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1.19.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неправильной полярности входного напряжения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1.20.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перегрузки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1.21.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перегрева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13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1.22.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короткого замыкания на выходе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1.23.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аварии по выходному напряжению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установки в стандартный шкаф 19"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Вертикальный размер инвертора занимаемый в стандартном шкафу 19", не более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2U (два юнта)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Габаритные размеры инвертера (ШхГхВ), не более мм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80 х 340 х 88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Диапазон рабочей температуры окружающей среды, ºС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0…+40 °С;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службы, (эксплуатации)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 списания, лет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оборудование и все поставленные запасные части должен составлять 36 месяцев с даты ввода оборудования в эксплуатацию (подписания Акта приемки)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Инвертор;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 эксплуатации;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на изделие;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талон;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color w:val="C9211E"/>
          <w:sz w:val="22"/>
          <w:szCs w:val="22"/>
        </w:rPr>
      </w:pPr>
      <w:r>
        <w:rPr>
          <w:b/>
          <w:bCs/>
          <w:color w:val="C9211E"/>
          <w:sz w:val="22"/>
          <w:szCs w:val="22"/>
        </w:rPr>
      </w:r>
    </w:p>
    <w:p>
      <w:pPr>
        <w:pStyle w:val="Normal"/>
        <w:spacing w:before="0" w:after="0"/>
        <w:contextualSpacing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64" w:name="_Toc125458491_Копия_1_Копия_1"/>
      <w:r>
        <w:rPr>
          <w:b/>
          <w:bCs/>
          <w:sz w:val="22"/>
          <w:szCs w:val="22"/>
        </w:rPr>
        <w:t xml:space="preserve">Таблица 2.2.28  Наименование продукции (позиция №:28 Таблицы 1.1): </w:t>
      </w:r>
      <w:bookmarkEnd w:id="64"/>
      <w:r>
        <w:rPr>
          <w:b/>
          <w:bCs/>
          <w:sz w:val="22"/>
          <w:szCs w:val="22"/>
        </w:rPr>
        <w:t>Шнур для телефонной трубки витой черный (2м/0,4м)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13"/>
        <w:gridCol w:w="3938"/>
        <w:gridCol w:w="5668"/>
        <w:gridCol w:w="2554"/>
        <w:gridCol w:w="2302"/>
      </w:tblGrid>
      <w:tr>
        <w:trPr/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>
          <w:trHeight w:val="341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 телефонный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Разъемы (шт)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Опрессованные разъемы RJ-10 (4P4C) -2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(метр)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экрана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1.5.</w:t>
            </w:r>
          </w:p>
        </w:tc>
        <w:tc>
          <w:tcPr>
            <w:tcW w:w="3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жил в кабеле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1.6.</w:t>
            </w:r>
          </w:p>
        </w:tc>
        <w:tc>
          <w:tcPr>
            <w:tcW w:w="3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Разъемы RJ-10 (4P4C)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проводника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Высокоочищенная бескислородная медь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изоляция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Поливинилхлорид (PVC)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Черный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-40…+60 °С,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внутренней прокладки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6 лет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Шнур для телефонной трубки в упаковке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ind w:left="720" w:hanging="0"/>
        <w:rPr>
          <w:rFonts w:ascii="Times New Roman" w:hAnsi="Times New Roman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>Таблица 2.2.29. Наименование продукции (позиция №:29 Таблицы 1.1): Вышка тура ВСП 250-0.7×1.6 базовый блок + 4 секции (6.3 м.) с комплектом опор стабилизаторов вышки туры</w:t>
      </w:r>
    </w:p>
    <w:tbl>
      <w:tblPr>
        <w:tblW w:w="150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07"/>
        <w:gridCol w:w="3829"/>
        <w:gridCol w:w="5668"/>
        <w:gridCol w:w="2552"/>
        <w:gridCol w:w="2319"/>
      </w:tblGrid>
      <w:tr>
        <w:trPr/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r>
              <w:rPr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Требование заказчика</w:t>
            </w:r>
          </w:p>
        </w:tc>
        <w:tc>
          <w:tcPr>
            <w:tcW w:w="4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8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показатели),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Максимальная высота,м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6,3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 до настила, м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5,4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Рабочая высота, м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секций, шт.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Нагрузка на конструкцию, кг/м2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 секции, м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1.8.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комплектом опор стабилизаторов вышки туры, шт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Толщина металла, мм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Размер площадки, м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 х 1,6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Масса, не более кг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Диапазон рабочей температуры окружающей среды, ºС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0…+40 °С;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Доставка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службы, (эксплуатации)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списания, лет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менее 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Срок гарантии на оборудование и все поставленные запасные части должен составлять 36 месяцев с даты ввода оборудования в эксплуатацию (подписания Акта приемки)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Комплект поставки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Вышка тура базовый блок + 4 секции (6.3 м.) с комплектом опор стабилизаторов вышки туры;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Руководство по эксплуатации;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Паспорт на изделие;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Гарантийный талон;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color w:val="C9211E"/>
          <w:sz w:val="22"/>
          <w:szCs w:val="22"/>
        </w:rPr>
      </w:pPr>
      <w:r>
        <w:rPr>
          <w:b/>
          <w:bCs/>
          <w:color w:val="C9211E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2.2.30. Наименование продукции (позиция №:30 Таблицы 1.1): Управляемый блок удаленного распределения и мониторинга питания NetPing 2-PWR-220 v33-GSM3G </w:t>
      </w:r>
    </w:p>
    <w:tbl>
      <w:tblPr>
        <w:tblW w:w="15015" w:type="dxa"/>
        <w:jc w:val="left"/>
        <w:tblInd w:w="1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65"/>
        <w:gridCol w:w="3824"/>
        <w:gridCol w:w="5673"/>
        <w:gridCol w:w="2552"/>
        <w:gridCol w:w="2301"/>
      </w:tblGrid>
      <w:tr>
        <w:trPr/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8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6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</w:t>
            </w:r>
            <w:r>
              <w:rPr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Тип: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управления питанием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независимых каналов управления электропитанием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Выходная мощность одной розетки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1,5 кВт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вводов электропитания электропитанием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Ethernet порт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10/100 BASE-TX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Встроенный GSM модем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Dual-Band WCDMA/HSPA 900/2100MHz, Dual-Band GSM/GPRS/EDGE 900/1800MHz, GPRS multi-slot class 12, EDGE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Комплектная Антенна GSM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Антенна ADA-900M-SMA-3,0m (Частота 900/1800Mhz; Кабель RG174 3 м.; Разъем SMA; Высота антенны 85 мм; КСВН = 1.5; Входное сопротивление 50 OM; Усиление 3dBi; Поляризация вертикальная.)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по SMS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1.9.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WatchDog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1.10.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КЗ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Встроенный самовосстанавливающийся предохранитель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настольное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Габаритные размеры (ШхГхВ), мм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145 x 78 x 57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Масса, не более кг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Диапазон рабочей температуры окружающей среды, ºС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-30…+50 °С;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оборудования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службы, (эксплуатации)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 списания, лет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Срок гарантии на оборудование и все поставленные запасные части должен составлять 36 месяцев с даты ввода оборудования в эксплуатацию (подписания Акта приемки)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Инвертор;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 эксплуатации;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на изделие;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талон;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color w:val="C9211E"/>
          <w:sz w:val="22"/>
          <w:szCs w:val="22"/>
        </w:rPr>
      </w:pPr>
      <w:r>
        <w:rPr>
          <w:b/>
          <w:bCs/>
          <w:color w:val="C9211E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bookmarkStart w:id="65" w:name="_Toc125458479_Копия_1_Копия_1_Копия_1_Ко"/>
      <w:r>
        <w:rPr>
          <w:b/>
          <w:bCs/>
          <w:sz w:val="22"/>
          <w:szCs w:val="22"/>
        </w:rPr>
        <w:t xml:space="preserve">Таблица 2.2.31. Наименование продукции (позиция №:31 Таблицы 1.1): </w:t>
      </w:r>
      <w:bookmarkEnd w:id="65"/>
      <w:r>
        <w:rPr>
          <w:b/>
          <w:bCs/>
          <w:sz w:val="22"/>
          <w:szCs w:val="22"/>
        </w:rPr>
        <w:t>IP видеокамера Beward  SV81715-R23 или эквивалент</w:t>
      </w:r>
      <w:r>
        <w:rPr>
          <w:b/>
          <w:bCs/>
          <w:sz w:val="22"/>
          <w:szCs w:val="22"/>
          <w:vertAlign w:val="superscript"/>
        </w:rPr>
        <w:t>1</w:t>
      </w:r>
    </w:p>
    <w:tbl>
      <w:tblPr>
        <w:tblW w:w="15015" w:type="dxa"/>
        <w:jc w:val="left"/>
        <w:tblInd w:w="1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65"/>
        <w:gridCol w:w="3824"/>
        <w:gridCol w:w="5673"/>
        <w:gridCol w:w="2552"/>
        <w:gridCol w:w="2301"/>
      </w:tblGrid>
      <w:tr>
        <w:trPr/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r>
              <w:rPr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параметра</w:t>
            </w:r>
          </w:p>
        </w:tc>
        <w:tc>
          <w:tcPr>
            <w:tcW w:w="5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Требование заказчика</w:t>
            </w:r>
          </w:p>
        </w:tc>
        <w:tc>
          <w:tcPr>
            <w:tcW w:w="4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8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56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Тип: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IP  </w:t>
            </w:r>
            <w:r>
              <w:rPr>
                <w:b/>
                <w:bCs/>
                <w:color w:val="000000"/>
                <w:sz w:val="22"/>
                <w:szCs w:val="22"/>
              </w:rPr>
              <w:t>видеокамера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Сенсор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 Мп, КМОП 1/2.8' SONY Starvis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Чувствительность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0.002 лк (день) / 0.001 лк (ночь)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 обзора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3 до 58 град., (по горизонтали), от 1.7 до 33 град., (по вертикали)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</w:t>
              <w:tab/>
              <w:t>Оптическое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25х, f=4.8-120 мм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Шумоподавление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2D/3DNR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Скорость затвора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1 до 1/100000 сек. (авто, вручную)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Формат сжатия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H.265, H.264 HP/MP/BP, Motion JPEG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1.9.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Видеопоток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Одновременное кодирование: до 3 потоков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1.10.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Скорость кадров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 (60) к/с для всех разрешений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1.11.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Разрешение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1920×,1080, 1280×,960, 1280×,720, 704×,576, 640×,480,</w:t>
            </w:r>
          </w:p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640×,360, 352×,288, 320×,240, 320×,192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1.12.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Безопасность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Многоуровневый доступ пользователей с защитой паролем, фильтр по IP,</w:t>
            </w:r>
          </w:p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доступ по HTTPS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1.13.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Пользователи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 учетных записей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1.14.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Сетевой интерфейс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10Base-T/100Base-TX Ethernet </w:t>
            </w:r>
            <w:r>
              <w:rPr>
                <w:color w:val="000000"/>
                <w:sz w:val="22"/>
                <w:szCs w:val="22"/>
              </w:rPr>
              <w:t>порт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1.15.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Сетевые протоколы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IPv4/v6, TCP, UDP, RTP, RTSP, RTCP, HTTP, HTTPS, DNS, DDNS,</w:t>
            </w:r>
          </w:p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FTP, NTP, SMTP, UPnP, PPPoE, VLAN, 802.1x, SIP,ONVIF Profile S/G/T/Q (V18.12),RTMP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1.16.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Питание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24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3 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(DC, AC), High PoE (802.3at) 30 </w:t>
            </w:r>
            <w:r>
              <w:rPr>
                <w:color w:val="000000"/>
                <w:sz w:val="22"/>
                <w:szCs w:val="22"/>
              </w:rPr>
              <w:t>Вт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1.17.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Потребляемая мощность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27 Вт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1.18.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микроклимата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обогрева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Класс защиты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IP66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Диапазон рабочей температуры окружающей среды, ºС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-40 до +60 град.,С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поставки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Продукция должна быть доставлена Поставщиком по адресу: 614030, г. Пермь, Камская ГЭС., ул. Соликамская, 329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Информация о дате и времени поставки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3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Доставка оборудования</w:t>
            </w: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службы, (эксплуатации)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списания, лет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менее 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Срок гарантии на оборудование и все поставленные запасные части должен составлять 36 месяцев с даты ввода оборудования в эксплуатацию (подписания Акта приемки)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Комплект поставки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IP-камера; Набор для монтажа;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Кронштейн;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Руководство по эксплуатации;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Паспорт на изделие;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Гарантийный талон;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before="0" w:after="0"/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¹ В позициях предусматривающих эквивалент, указанные в настоящем ТТ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участник указывает конкретные наименования (тип/марку) продукции в Приложении 1 к Письму о подаче оферты «Коммерческое предложение» без указания «или эквивалент».</w:t>
      </w:r>
    </w:p>
    <w:p>
      <w:pPr>
        <w:pStyle w:val="Normal"/>
        <w:spacing w:before="0" w:after="0"/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bookmarkStart w:id="66" w:name="_GoBack_Копия_1"/>
      <w:bookmarkStart w:id="67" w:name="_GoBack_Копия_1"/>
      <w:bookmarkEnd w:id="67"/>
    </w:p>
    <w:p>
      <w:pPr>
        <w:pStyle w:val="Normal"/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  <w:p>
      <w:pPr>
        <w:pStyle w:val="Normal"/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Heading1"/>
        <w:rPr/>
      </w:pPr>
      <w:r>
        <w:rPr/>
        <w:t>3. Требования к документации по ценообразованию на этапе закупки</w:t>
      </w:r>
    </w:p>
    <w:p>
      <w:pPr>
        <w:pStyle w:val="Normal"/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Heading1"/>
        <w:rPr>
          <w:b w:val="false"/>
          <w:sz w:val="24"/>
          <w:szCs w:val="24"/>
        </w:rPr>
      </w:pPr>
      <w:r>
        <w:rPr>
          <w:sz w:val="24"/>
          <w:szCs w:val="24"/>
        </w:rPr>
        <w:t>3.1.</w:t>
      </w:r>
      <w:r>
        <w:rPr>
          <w:b w:val="false"/>
          <w:sz w:val="24"/>
          <w:szCs w:val="24"/>
        </w:rPr>
        <w:t xml:space="preserve">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Heading1"/>
        <w:rPr>
          <w:b w:val="false"/>
          <w:sz w:val="24"/>
          <w:szCs w:val="24"/>
        </w:rPr>
      </w:pPr>
      <w:r>
        <w:rPr>
          <w:rStyle w:val="Style8"/>
          <w:b/>
          <w:i w:val="false"/>
          <w:iCs/>
          <w:color w:val="000000"/>
          <w:sz w:val="24"/>
          <w:szCs w:val="24"/>
          <w:shd w:fill="auto" w:val="clear"/>
        </w:rPr>
        <w:t>3.2. Дополнительные документы по ценообразованию в состав заявки не включаются.</w:t>
      </w:r>
    </w:p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br w:type="page"/>
      </w:r>
    </w:p>
    <w:p>
      <w:pPr>
        <w:pStyle w:val="Normal"/>
        <w:rPr>
          <w:b/>
          <w:bCs/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851" w:gutter="0" w:header="0" w:top="345" w:footer="0" w:bottom="1001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writeProtection w:cryptProviderType="rsaAES" w:cryptAlgorithmClass="hash" w:cryptAlgorithmType="typeAny" w:cryptAlgorithmSid="14" w:cryptSpinCount="100000" w:hash="PXoXq4XiGnoAuiB3AedoZYtnKjiPVDhzLdaAIVw1A/Uy1AeVJ6liFOFXR1jjKBsnI0tgvfG5J+nTL39AlU3AJg==" w:salt="+ikHI8cgSM1JjtiyUoG8MA=="/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653ac9"/>
    <w:pPr>
      <w:keepNext w:val="true"/>
      <w:tabs>
        <w:tab w:val="clear" w:pos="708"/>
        <w:tab w:val="left" w:pos="0" w:leader="none"/>
      </w:tabs>
      <w:spacing w:before="120" w:after="60"/>
      <w:ind w:left="1224" w:hanging="0"/>
      <w:outlineLvl w:val="2"/>
    </w:pPr>
    <w:rPr>
      <w:rFonts w:eastAsia="Calibri"/>
      <w:b/>
      <w:sz w:val="24"/>
      <w:szCs w:val="24"/>
      <w:lang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2" w:customStyle="1">
    <w:name w:val="Заголовок 2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653ac9"/>
    <w:rPr>
      <w:rFonts w:ascii="Times New Roman" w:hAnsi="Times New Roman" w:cs="Times New Roman"/>
      <w:b/>
      <w:sz w:val="24"/>
      <w:szCs w:val="24"/>
      <w:lang w:eastAsia="x-none"/>
    </w:rPr>
  </w:style>
  <w:style w:type="character" w:styleId="4" w:customStyle="1">
    <w:name w:val="Заголовок 4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basedOn w:val="DefaultParagraphFont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x-none" w:eastAsia="x-none"/>
    </w:rPr>
  </w:style>
  <w:style w:type="character" w:styleId="6" w:customStyle="1">
    <w:name w:val="Заголовок 6 Знак"/>
    <w:basedOn w:val="DefaultParagraphFont"/>
    <w:qFormat/>
    <w:rPr>
      <w:rFonts w:ascii="Cambria" w:hAnsi="Cambria" w:eastAsia="Times New Roman" w:cs="Times New Roman"/>
      <w:i/>
      <w:iCs/>
      <w:color w:val="243F60"/>
      <w:sz w:val="20"/>
      <w:szCs w:val="20"/>
      <w:lang w:val="x-none" w:eastAsia="x-none"/>
    </w:rPr>
  </w:style>
  <w:style w:type="character" w:styleId="7" w:customStyle="1">
    <w:name w:val="Заголовок 7 Знак"/>
    <w:basedOn w:val="DefaultParagraphFont"/>
    <w:qFormat/>
    <w:rPr>
      <w:rFonts w:ascii="Cambria" w:hAnsi="Cambria" w:eastAsia="Times New Roman" w:cs="Times New Roman"/>
      <w:i/>
      <w:iCs/>
      <w:color w:val="404040"/>
      <w:sz w:val="20"/>
      <w:szCs w:val="20"/>
      <w:lang w:val="x-none" w:eastAsia="x-none"/>
    </w:rPr>
  </w:style>
  <w:style w:type="character" w:styleId="8" w:customStyle="1">
    <w:name w:val="Заголовок 8 Знак"/>
    <w:basedOn w:val="DefaultParagraphFont"/>
    <w:qFormat/>
    <w:rPr>
      <w:rFonts w:ascii="Cambria" w:hAnsi="Cambria" w:eastAsia="Times New Roman" w:cs="Times New Roman"/>
      <w:color w:val="4F81BD"/>
      <w:sz w:val="20"/>
      <w:szCs w:val="20"/>
      <w:lang w:val="x-none" w:eastAsia="x-none"/>
    </w:rPr>
  </w:style>
  <w:style w:type="character" w:styleId="9" w:customStyle="1">
    <w:name w:val="Заголовок 9 Знак"/>
    <w:basedOn w:val="DefaultParagraphFont"/>
    <w:qFormat/>
    <w:rPr>
      <w:rFonts w:ascii="Arial" w:hAnsi="Arial" w:eastAsia="Times New Roman" w:cs="Times New Roman"/>
      <w:lang w:val="x-none" w:eastAsia="x-none"/>
    </w:rPr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11" w:customStyle="1">
    <w:name w:val="Гиперссылка1"/>
    <w:basedOn w:val="DefaultParagraphFont"/>
    <w:qFormat/>
    <w:rPr>
      <w:color w:val="0563C1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Style1" w:customStyle="1">
    <w:name w:val="Название Знак"/>
    <w:link w:val="1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2" w:customStyle="1">
    <w:name w:val="Подпункт Знак1"/>
    <w:link w:val="Style27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5"/>
    <w:qFormat/>
    <w:rPr>
      <w:sz w:val="26"/>
      <w:szCs w:val="26"/>
    </w:rPr>
  </w:style>
  <w:style w:type="character" w:styleId="31" w:customStyle="1">
    <w:name w:val="УРОВЕНЬ_Абзац_тип3 Знак"/>
    <w:link w:val="37"/>
    <w:qFormat/>
    <w:rPr>
      <w:rFonts w:eastAsia="Calibri"/>
      <w:sz w:val="26"/>
      <w:szCs w:val="28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Pr>
      <w:vertAlign w:val="superscript"/>
    </w:rPr>
  </w:style>
  <w:style w:type="character" w:styleId="22" w:customStyle="1">
    <w:name w:val="Пункт2 Знак"/>
    <w:link w:val="26"/>
    <w:qFormat/>
    <w:rPr>
      <w:b/>
      <w:sz w:val="28"/>
    </w:rPr>
  </w:style>
  <w:style w:type="character" w:styleId="13" w:customStyle="1">
    <w:name w:val="УРОВЕНЬ_1. Знак"/>
    <w:link w:val="119"/>
    <w:qFormat/>
    <w:rPr>
      <w:rFonts w:eastAsia="Calibri"/>
      <w:caps/>
      <w:sz w:val="28"/>
      <w:szCs w:val="28"/>
    </w:rPr>
  </w:style>
  <w:style w:type="character" w:styleId="14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 w:customStyle="1">
    <w:name w:val="Маркеры"/>
    <w:qFormat/>
    <w:rPr>
      <w:rFonts w:ascii="OpenSymbol" w:hAnsi="OpenSymbol" w:eastAsia="OpenSymbol" w:cs="OpenSymbol"/>
    </w:rPr>
  </w:style>
  <w:style w:type="character" w:styleId="15" w:customStyle="1">
    <w:name w:val="Основной текст Знак1"/>
    <w:basedOn w:val="DefaultParagraphFont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6" w:customStyle="1">
    <w:name w:val="Заголовок Знак"/>
    <w:basedOn w:val="DefaultParagraphFont"/>
    <w:qFormat/>
    <w:rPr>
      <w:rFonts w:ascii="Liberation Sans" w:hAnsi="Liberation Sans" w:eastAsia="Arial Unicode MS" w:cs="Arial Unicode MS"/>
      <w:sz w:val="28"/>
      <w:szCs w:val="28"/>
      <w:lang w:eastAsia="ru-RU"/>
    </w:rPr>
  </w:style>
  <w:style w:type="character" w:styleId="16" w:customStyle="1">
    <w:name w:val="Текст сноски Знак1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7" w:customStyle="1">
    <w:name w:val="Верхний колонтитул Знак1"/>
    <w:basedOn w:val="DefaultParagraphFont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7" w:customStyle="1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8" w:customStyle="1">
    <w:name w:val="Нижний колонтитул Знак"/>
    <w:basedOn w:val="DefaultParagraphFont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3" w:customStyle="1">
    <w:name w:val="Основной текст 3 Знак"/>
    <w:basedOn w:val="DefaultParagraphFont"/>
    <w:link w:val="BodyText3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11" w:customStyle="1">
    <w:name w:val="Основной текст с отступом 3 Знак1"/>
    <w:basedOn w:val="DefaultParagraphFont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4" w:customStyle="1">
    <w:name w:val="Основной текст 2 Знак"/>
    <w:basedOn w:val="DefaultParagraphFont"/>
    <w:link w:val="BodyText2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9" w:customStyle="1">
    <w:name w:val="Текст выноски Знак"/>
    <w:basedOn w:val="DefaultParagraphFont"/>
    <w:link w:val="BalloonText"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18" w:customStyle="1">
    <w:name w:val="Текст примечания Знак1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0" w:customStyle="1">
    <w:name w:val="Тема примечания Знак"/>
    <w:basedOn w:val="18"/>
    <w:link w:val="Annotationsubject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9" w:customStyle="1">
    <w:name w:val="Подзаголовок Знак1"/>
    <w:basedOn w:val="DefaultParagraphFont"/>
    <w:qFormat/>
    <w:rPr>
      <w:rFonts w:eastAsia="Calibri"/>
      <w:color w:val="5A5A5A"/>
      <w:spacing w:val="15"/>
      <w:lang w:eastAsia="ru-RU"/>
    </w:rPr>
  </w:style>
  <w:style w:type="character" w:styleId="211" w:customStyle="1">
    <w:name w:val="Цитата 2 Знак1"/>
    <w:basedOn w:val="DefaultParagraphFont"/>
    <w:qFormat/>
    <w:rPr>
      <w:rFonts w:ascii="Times New Roman" w:hAnsi="Times New Roman" w:eastAsia="Times New Roman" w:cs="Times New Roman"/>
      <w:i/>
      <w:iCs/>
      <w:color w:val="404040"/>
      <w:sz w:val="28"/>
      <w:szCs w:val="28"/>
      <w:lang w:eastAsia="ru-RU"/>
    </w:rPr>
  </w:style>
  <w:style w:type="character" w:styleId="110" w:customStyle="1">
    <w:name w:val="Выделенная цитата Знак1"/>
    <w:basedOn w:val="DefaultParagraphFont"/>
    <w:qFormat/>
    <w:rPr>
      <w:rFonts w:ascii="Times New Roman" w:hAnsi="Times New Roman" w:eastAsia="Times New Roman" w:cs="Times New Roman"/>
      <w:i/>
      <w:iCs/>
      <w:color w:val="5B9BD5"/>
      <w:sz w:val="28"/>
      <w:szCs w:val="28"/>
      <w:lang w:eastAsia="ru-RU"/>
    </w:rPr>
  </w:style>
  <w:style w:type="character" w:styleId="111" w:customStyle="1">
    <w:name w:val="Электронная подпись Знак1"/>
    <w:basedOn w:val="DefaultParagraphFont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2" w:customStyle="1">
    <w:name w:val="Текст концевой сноски Знак1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yperlink">
    <w:name w:val="Hyperlink"/>
    <w:rPr>
      <w:color w:val="000080"/>
      <w:u w:val="single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>
      <w:rFonts w:ascii="Calibri" w:hAnsi="Calibri" w:eastAsia="Calibri" w:cs="Tahoma"/>
      <w:lang w:eastAsia="en-US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Style16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113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Index1">
    <w:name w:val="index 1"/>
    <w:basedOn w:val="Normal"/>
    <w:next w:val="Normal"/>
    <w:autoRedefine/>
    <w:qFormat/>
    <w:pPr>
      <w:ind w:left="280" w:hanging="280"/>
    </w:pPr>
    <w:rPr/>
  </w:style>
  <w:style w:type="paragraph" w:styleId="Style23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4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5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rFonts w:ascii="Calibri" w:hAnsi="Calibri" w:eastAsia="Calibri" w:cs="Tahoma"/>
      <w:sz w:val="22"/>
      <w:szCs w:val="22"/>
      <w:lang w:eastAsia="en-US"/>
    </w:rPr>
  </w:style>
  <w:style w:type="paragraph" w:styleId="1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5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5" w:customStyle="1">
    <w:name w:val="Название1"/>
    <w:basedOn w:val="Normal"/>
    <w:link w:val="Style1"/>
    <w:qFormat/>
    <w:pPr>
      <w:jc w:val="center"/>
    </w:pPr>
    <w:rPr>
      <w:rFonts w:ascii="Calibri" w:hAnsi="Calibri" w:eastAsia="Calibri" w:cs="Tahoma"/>
      <w:szCs w:val="22"/>
      <w:lang w:eastAsia="en-US"/>
    </w:rPr>
  </w:style>
  <w:style w:type="paragraph" w:styleId="Style26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Calibri" w:cs="Tahoma"/>
      <w:sz w:val="24"/>
      <w:szCs w:val="24"/>
      <w:lang w:eastAsia="en-US"/>
    </w:rPr>
  </w:style>
  <w:style w:type="paragraph" w:styleId="BodyTextIndent">
    <w:name w:val="Body Text Indent"/>
    <w:basedOn w:val="Normal"/>
    <w:link w:val="Style17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3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33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rFonts w:ascii="Calibri" w:hAnsi="Calibri" w:eastAsia="Calibri" w:cs="Tahoma"/>
      <w:sz w:val="16"/>
      <w:szCs w:val="16"/>
      <w:lang w:eastAsia="en-US"/>
    </w:rPr>
  </w:style>
  <w:style w:type="paragraph" w:styleId="BodyText2">
    <w:name w:val="Body Text 2"/>
    <w:basedOn w:val="Normal"/>
    <w:link w:val="24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7" w:customStyle="1">
    <w:name w:val="Подпункт"/>
    <w:basedOn w:val="Normal"/>
    <w:link w:val="12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rFonts w:ascii="Calibri" w:hAnsi="Calibri" w:eastAsia="Calibri" w:cs="Tahoma"/>
      <w:szCs w:val="22"/>
      <w:lang w:eastAsia="en-US"/>
    </w:rPr>
  </w:style>
  <w:style w:type="paragraph" w:styleId="26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rFonts w:ascii="Calibri" w:hAnsi="Calibri" w:eastAsia="Calibri" w:cs="Tahoma"/>
      <w:b/>
      <w:szCs w:val="22"/>
      <w:lang w:eastAsia="en-US"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/>
      <w:sz w:val="20"/>
      <w:szCs w:val="20"/>
    </w:rPr>
  </w:style>
  <w:style w:type="paragraph" w:styleId="Style28" w:customStyle="1">
    <w:name w:val="Раздел регламента"/>
    <w:basedOn w:val="Normal"/>
    <w:qFormat/>
    <w:pPr/>
    <w:rPr/>
  </w:style>
  <w:style w:type="paragraph" w:styleId="Style29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link w:val="Style19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rFonts w:ascii="Calibri" w:hAnsi="Calibri" w:eastAsia="Calibri" w:cs="Tahoma"/>
      <w:sz w:val="22"/>
      <w:szCs w:val="22"/>
      <w:lang w:eastAsia="en-US"/>
    </w:rPr>
  </w:style>
  <w:style w:type="paragraph" w:styleId="Annotationsubject">
    <w:name w:val="annotation subject"/>
    <w:basedOn w:val="Annotationtext"/>
    <w:next w:val="Annotationtext"/>
    <w:link w:val="Style20"/>
    <w:qFormat/>
    <w:pPr/>
    <w:rPr>
      <w:b/>
      <w:bCs/>
    </w:rPr>
  </w:style>
  <w:style w:type="paragraph" w:styleId="1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pPr>
      <w:ind w:left="560" w:hanging="0"/>
    </w:pPr>
    <w:rPr>
      <w:rFonts w:cs="Calibri"/>
      <w:sz w:val="20"/>
      <w:szCs w:val="20"/>
    </w:rPr>
  </w:style>
  <w:style w:type="paragraph" w:styleId="27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30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 w:eastAsia="Calibri" w:cs="Tahom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hanging="0"/>
      <w:contextualSpacing/>
    </w:pPr>
    <w:rPr>
      <w:rFonts w:ascii="Calibri" w:hAnsi="Calibri" w:eastAsia="Calibri" w:cs="Tahoma"/>
      <w:sz w:val="24"/>
      <w:szCs w:val="24"/>
      <w:lang w:eastAsia="en-US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 w:cs="Tahoma"/>
      <w:i/>
      <w:iCs/>
      <w:color w:val="000000"/>
      <w:sz w:val="22"/>
      <w:szCs w:val="22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 w:cs="Tahoma"/>
      <w:b/>
      <w:bCs/>
      <w:i/>
      <w:iCs/>
      <w:color w:val="4F81BD"/>
      <w:sz w:val="22"/>
      <w:szCs w:val="22"/>
      <w:lang w:val="x-none" w:eastAsia="x-none"/>
    </w:rPr>
  </w:style>
  <w:style w:type="paragraph" w:styleId="IndexHeading">
    <w:name w:val="Index Heading"/>
    <w:basedOn w:val="Style21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ascii="Calibri" w:hAnsi="Calibri" w:eastAsia="Calibri" w:cs="Tahoma"/>
      <w:sz w:val="24"/>
      <w:szCs w:val="24"/>
      <w:lang w:eastAsia="en-US"/>
    </w:rPr>
  </w:style>
  <w:style w:type="paragraph" w:styleId="Style31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6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2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3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4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5" w:customStyle="1">
    <w:name w:val="Подподпункт"/>
    <w:basedOn w:val="Style27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</w:rPr>
  </w:style>
  <w:style w:type="paragraph" w:styleId="Style36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</w:rPr>
  </w:style>
  <w:style w:type="paragraph" w:styleId="29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37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Style37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</w:rPr>
  </w:style>
  <w:style w:type="paragraph" w:styleId="118" w:customStyle="1">
    <w:name w:val="Стиль Заголовок 1 + по ширине"/>
    <w:basedOn w:val="Heading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eastAsia="ru-RU"/>
    </w:rPr>
  </w:style>
  <w:style w:type="paragraph" w:styleId="EndnoteText">
    <w:name w:val="Endnote Text"/>
    <w:basedOn w:val="Normal"/>
    <w:link w:val="Style12"/>
    <w:pPr/>
    <w:rPr>
      <w:rFonts w:ascii="Calibri" w:hAnsi="Calibri" w:eastAsia="Calibri" w:cs="Tahoma"/>
      <w:sz w:val="22"/>
      <w:szCs w:val="22"/>
      <w:lang w:eastAsia="en-US"/>
    </w:rPr>
  </w:style>
  <w:style w:type="paragraph" w:styleId="210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8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19" w:customStyle="1">
    <w:name w:val="УРОВЕНЬ_1."/>
    <w:basedOn w:val="ListParagraph"/>
    <w:link w:val="13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</w:rPr>
  </w:style>
  <w:style w:type="paragraph" w:styleId="TOC6">
    <w:name w:val="TOC 6"/>
    <w:basedOn w:val="Normal"/>
    <w:next w:val="Normal"/>
    <w:autoRedefine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hanging="0"/>
    </w:pPr>
    <w:rPr>
      <w:rFonts w:ascii="Calibri" w:hAnsi="Calibri" w:cs="Calibri"/>
      <w:sz w:val="20"/>
      <w:szCs w:val="20"/>
    </w:rPr>
  </w:style>
  <w:style w:type="paragraph" w:styleId="Style39" w:customStyle="1">
    <w:name w:val="Содержимое врезки"/>
    <w:basedOn w:val="Normal"/>
    <w:qFormat/>
    <w:pPr/>
    <w:rPr/>
  </w:style>
  <w:style w:type="paragraph" w:styleId="Style4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41" w:customStyle="1">
    <w:name w:val="Заголовок таблицы"/>
    <w:basedOn w:val="Style40"/>
    <w:qFormat/>
    <w:pPr>
      <w:jc w:val="center"/>
    </w:pPr>
    <w:rPr>
      <w:b/>
      <w:bCs/>
    </w:rPr>
  </w:style>
  <w:style w:type="paragraph" w:styleId="Style42" w:customStyle="1">
    <w:name w:val="Заголовок списка"/>
    <w:basedOn w:val="Normal"/>
    <w:next w:val="Style43"/>
    <w:qFormat/>
    <w:pPr/>
    <w:rPr/>
  </w:style>
  <w:style w:type="paragraph" w:styleId="Style43" w:customStyle="1">
    <w:name w:val="Содержимое списка"/>
    <w:basedOn w:val="Normal"/>
    <w:qFormat/>
    <w:pPr>
      <w:ind w:left="567" w:hanging="0"/>
    </w:pPr>
    <w:rPr/>
  </w:style>
  <w:style w:type="paragraph" w:styleId="Style44" w:customStyle="1">
    <w:name w:val="ТТ_Заголовок"/>
    <w:basedOn w:val="Heading1"/>
    <w:next w:val="Normal"/>
    <w:qFormat/>
    <w:pPr>
      <w:spacing w:before="0" w:after="0"/>
      <w:ind w:left="0" w:hanging="0"/>
      <w:jc w:val="center"/>
      <w:outlineLvl w:val="9"/>
    </w:pPr>
    <w:rPr>
      <w:rFonts w:eastAsia="Arial Unicode MS" w:cs="Arial Unicode MS"/>
      <w:bCs/>
      <w:kern w:val="2"/>
      <w:sz w:val="24"/>
      <w:szCs w:val="24"/>
      <w:lang w:eastAsia="zh-CN" w:bidi="hi-IN"/>
    </w:rPr>
  </w:style>
  <w:style w:type="paragraph" w:styleId="BCListNumber10" w:customStyle="1">
    <w:name w:val="BC List Number 10"/>
    <w:basedOn w:val="Normal"/>
    <w:qFormat/>
    <w:pPr>
      <w:numPr>
        <w:ilvl w:val="0"/>
        <w:numId w:val="6"/>
      </w:numPr>
      <w:spacing w:before="60" w:after="60"/>
      <w:jc w:val="both"/>
    </w:pPr>
    <w:rPr>
      <w:kern w:val="2"/>
      <w:sz w:val="20"/>
      <w:szCs w:val="24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numbering" w:styleId="120" w:customStyle="1">
    <w:name w:val="Стиль1"/>
    <w:qFormat/>
  </w:style>
  <w:style w:type="numbering" w:styleId="212" w:customStyle="1">
    <w:name w:val="Стиль2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3981</TotalTime>
  <Application>AlterOffice/3.4.0.9$Linux_X86_64 LibreOffice_project/b8daf9e823b1a5463a2f48435ddc2e8696e7d4fc</Application>
  <AppVersion>15.0000</AppVersion>
  <Pages>57</Pages>
  <Words>14727</Words>
  <Characters>96758</Characters>
  <CharactersWithSpaces>107442</CharactersWithSpaces>
  <Paragraphs>4208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2025-03-31T09:30:00Z</dcterms:created>
  <dc:creator>Заборовцев Андрей Николаевич</dc:creator>
  <dc:description/>
  <dc:language>ru-RU</dc:language>
  <cp:lastModifiedBy>shvalyukee@corp.gidroogk.com</cp:lastModifiedBy>
  <cp:lastPrinted>2026-03-10T11:54:58Z</cp:lastPrinted>
  <dcterms:modified xsi:type="dcterms:W3CDTF">2026-04-20T14:35:11Z</dcterms:modified>
  <cp:revision>102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